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DF1A1" w14:textId="77777777" w:rsidR="00BC1468" w:rsidRDefault="00BC1468" w:rsidP="002A0C54">
      <w:pPr>
        <w:rPr>
          <w:rFonts w:ascii="Times New Roman" w:hAnsi="Times New Roman"/>
          <w:sz w:val="24"/>
          <w:szCs w:val="24"/>
          <w:lang w:val="nn-NO"/>
        </w:rPr>
      </w:pPr>
    </w:p>
    <w:p w14:paraId="769B7977" w14:textId="77777777" w:rsidR="008F15B3" w:rsidRDefault="008F15B3" w:rsidP="006200B3">
      <w:pPr>
        <w:jc w:val="center"/>
        <w:rPr>
          <w:rFonts w:ascii="Times New Roman" w:hAnsi="Times New Roman"/>
          <w:sz w:val="24"/>
          <w:szCs w:val="24"/>
          <w:lang w:val="nn-NO"/>
        </w:rPr>
      </w:pPr>
    </w:p>
    <w:p w14:paraId="458FB694" w14:textId="77777777" w:rsidR="006200B3" w:rsidRPr="00CC7730" w:rsidRDefault="006200B3" w:rsidP="006200B3">
      <w:pPr>
        <w:jc w:val="center"/>
        <w:rPr>
          <w:rFonts w:ascii="Times New Roman" w:hAnsi="Times New Roman"/>
          <w:b/>
          <w:sz w:val="32"/>
          <w:szCs w:val="32"/>
          <w:u w:val="single"/>
          <w:lang w:val="nn-NO"/>
        </w:rPr>
      </w:pPr>
      <w:r w:rsidRPr="00CC7730">
        <w:rPr>
          <w:rFonts w:ascii="Times New Roman" w:hAnsi="Times New Roman"/>
          <w:b/>
          <w:sz w:val="32"/>
          <w:szCs w:val="32"/>
          <w:u w:val="single"/>
          <w:lang w:val="nn-NO"/>
        </w:rPr>
        <w:t>Statlege føresetnader for Samhandlingsreforma</w:t>
      </w:r>
    </w:p>
    <w:p w14:paraId="355C186B" w14:textId="77777777" w:rsidR="008F15B3" w:rsidRDefault="008F15B3" w:rsidP="006200B3">
      <w:pPr>
        <w:rPr>
          <w:rFonts w:ascii="Times New Roman" w:hAnsi="Times New Roman"/>
          <w:b/>
          <w:sz w:val="24"/>
          <w:szCs w:val="24"/>
          <w:lang w:val="nn-NO"/>
        </w:rPr>
      </w:pPr>
    </w:p>
    <w:p w14:paraId="292193BE" w14:textId="77777777" w:rsidR="008F15B3" w:rsidRPr="000F3BB2" w:rsidRDefault="008F15B3" w:rsidP="006200B3">
      <w:pPr>
        <w:rPr>
          <w:rFonts w:ascii="Times New Roman" w:hAnsi="Times New Roman"/>
          <w:b/>
          <w:sz w:val="28"/>
          <w:szCs w:val="28"/>
          <w:lang w:val="nn-NO"/>
        </w:rPr>
      </w:pPr>
      <w:r w:rsidRPr="000F3BB2">
        <w:rPr>
          <w:rFonts w:ascii="Times New Roman" w:hAnsi="Times New Roman"/>
          <w:b/>
          <w:sz w:val="28"/>
          <w:szCs w:val="28"/>
          <w:lang w:val="nn-NO"/>
        </w:rPr>
        <w:t>Samandrag og historikk</w:t>
      </w:r>
    </w:p>
    <w:p w14:paraId="082DB5D2" w14:textId="003599B0" w:rsidR="008F15B3" w:rsidRPr="008F15B3" w:rsidRDefault="008F15B3" w:rsidP="006200B3">
      <w:pPr>
        <w:rPr>
          <w:rFonts w:ascii="Times New Roman" w:hAnsi="Times New Roman"/>
          <w:sz w:val="24"/>
          <w:szCs w:val="24"/>
          <w:lang w:val="nn-NO"/>
        </w:rPr>
      </w:pPr>
      <w:r w:rsidRPr="008F15B3">
        <w:rPr>
          <w:rFonts w:ascii="Times New Roman" w:hAnsi="Times New Roman"/>
          <w:sz w:val="24"/>
          <w:szCs w:val="24"/>
          <w:lang w:val="nn-NO"/>
        </w:rPr>
        <w:t>Dette notatet drøftar i kva grad  dei statlege vilkåra samhandlingsreforma er tufta på</w:t>
      </w:r>
      <w:r w:rsidR="00F51064">
        <w:rPr>
          <w:rFonts w:ascii="Times New Roman" w:hAnsi="Times New Roman"/>
          <w:sz w:val="24"/>
          <w:szCs w:val="24"/>
          <w:lang w:val="nn-NO"/>
        </w:rPr>
        <w:t>,</w:t>
      </w:r>
      <w:r w:rsidRPr="008F15B3">
        <w:rPr>
          <w:rFonts w:ascii="Times New Roman" w:hAnsi="Times New Roman"/>
          <w:sz w:val="24"/>
          <w:szCs w:val="24"/>
          <w:lang w:val="nn-NO"/>
        </w:rPr>
        <w:t xml:space="preserve"> er følgd opp.</w:t>
      </w:r>
    </w:p>
    <w:p w14:paraId="5CA4EBF0" w14:textId="77777777" w:rsidR="006200B3" w:rsidRPr="00AB2FE5" w:rsidRDefault="006200B3" w:rsidP="006200B3">
      <w:pPr>
        <w:rPr>
          <w:rFonts w:ascii="Times New Roman" w:hAnsi="Times New Roman"/>
          <w:sz w:val="24"/>
          <w:szCs w:val="24"/>
          <w:lang w:val="nn-NO"/>
        </w:rPr>
      </w:pPr>
      <w:r w:rsidRPr="00151E66">
        <w:rPr>
          <w:rFonts w:ascii="Times New Roman" w:hAnsi="Times New Roman"/>
          <w:sz w:val="24"/>
          <w:szCs w:val="24"/>
          <w:lang w:val="nn-NO"/>
        </w:rPr>
        <w:t xml:space="preserve">Samhandlingsreforma vart </w:t>
      </w:r>
      <w:r w:rsidR="00151E66" w:rsidRPr="00151E66">
        <w:rPr>
          <w:rFonts w:ascii="Times New Roman" w:hAnsi="Times New Roman"/>
          <w:sz w:val="24"/>
          <w:szCs w:val="24"/>
          <w:lang w:val="nn-NO"/>
        </w:rPr>
        <w:t>vedtatt sett i verk frå</w:t>
      </w:r>
      <w:r w:rsidR="008F15B3">
        <w:rPr>
          <w:rFonts w:ascii="Times New Roman" w:hAnsi="Times New Roman"/>
          <w:sz w:val="24"/>
          <w:szCs w:val="24"/>
          <w:lang w:val="nn-NO"/>
        </w:rPr>
        <w:t xml:space="preserve"> 01.01.2012. Den vart</w:t>
      </w:r>
      <w:r w:rsidRPr="00151E66">
        <w:rPr>
          <w:rFonts w:ascii="Times New Roman" w:hAnsi="Times New Roman"/>
          <w:sz w:val="24"/>
          <w:szCs w:val="24"/>
          <w:lang w:val="nn-NO"/>
        </w:rPr>
        <w:t xml:space="preserve"> presentert som e</w:t>
      </w:r>
      <w:r w:rsidR="00151E66" w:rsidRPr="00151E66">
        <w:rPr>
          <w:rFonts w:ascii="Times New Roman" w:hAnsi="Times New Roman"/>
          <w:sz w:val="24"/>
          <w:szCs w:val="24"/>
          <w:lang w:val="nn-NO"/>
        </w:rPr>
        <w:t>i</w:t>
      </w:r>
      <w:r w:rsidR="008F15B3">
        <w:rPr>
          <w:rFonts w:ascii="Times New Roman" w:hAnsi="Times New Roman"/>
          <w:sz w:val="24"/>
          <w:szCs w:val="24"/>
          <w:lang w:val="nn-NO"/>
        </w:rPr>
        <w:t xml:space="preserve"> </w:t>
      </w:r>
      <w:r w:rsidRPr="00151E66">
        <w:rPr>
          <w:rFonts w:ascii="Times New Roman" w:hAnsi="Times New Roman"/>
          <w:sz w:val="24"/>
          <w:szCs w:val="24"/>
          <w:lang w:val="nn-NO"/>
        </w:rPr>
        <w:t>retningsreform der e</w:t>
      </w:r>
      <w:r w:rsidR="00151E66" w:rsidRPr="00151E66">
        <w:rPr>
          <w:rFonts w:ascii="Times New Roman" w:hAnsi="Times New Roman"/>
          <w:sz w:val="24"/>
          <w:szCs w:val="24"/>
          <w:lang w:val="nn-NO"/>
        </w:rPr>
        <w:t>i</w:t>
      </w:r>
      <w:r w:rsidR="008F15B3">
        <w:rPr>
          <w:rFonts w:ascii="Times New Roman" w:hAnsi="Times New Roman"/>
          <w:sz w:val="24"/>
          <w:szCs w:val="24"/>
          <w:lang w:val="nn-NO"/>
        </w:rPr>
        <w:t xml:space="preserve">n av </w:t>
      </w:r>
      <w:proofErr w:type="spellStart"/>
      <w:r w:rsidR="008F15B3">
        <w:rPr>
          <w:rFonts w:ascii="Times New Roman" w:hAnsi="Times New Roman"/>
          <w:sz w:val="24"/>
          <w:szCs w:val="24"/>
          <w:lang w:val="nn-NO"/>
        </w:rPr>
        <w:t>hovud</w:t>
      </w:r>
      <w:r w:rsidR="00151E66">
        <w:rPr>
          <w:rFonts w:ascii="Times New Roman" w:hAnsi="Times New Roman"/>
          <w:sz w:val="24"/>
          <w:szCs w:val="24"/>
          <w:lang w:val="nn-NO"/>
        </w:rPr>
        <w:t>utfordringane</w:t>
      </w:r>
      <w:proofErr w:type="spellEnd"/>
      <w:r w:rsidR="00151E66">
        <w:rPr>
          <w:rFonts w:ascii="Times New Roman" w:hAnsi="Times New Roman"/>
          <w:sz w:val="24"/>
          <w:szCs w:val="24"/>
          <w:lang w:val="nn-NO"/>
        </w:rPr>
        <w:t xml:space="preserve"> var at t</w:t>
      </w:r>
      <w:r w:rsidR="008F15B3">
        <w:rPr>
          <w:rFonts w:ascii="Times New Roman" w:hAnsi="Times New Roman"/>
          <w:sz w:val="24"/>
          <w:szCs w:val="24"/>
          <w:lang w:val="nn-NO"/>
        </w:rPr>
        <w:t>enestene i for lita</w:t>
      </w:r>
      <w:r w:rsidRPr="00151E66">
        <w:rPr>
          <w:rFonts w:ascii="Times New Roman" w:hAnsi="Times New Roman"/>
          <w:sz w:val="24"/>
          <w:szCs w:val="24"/>
          <w:lang w:val="nn-NO"/>
        </w:rPr>
        <w:t xml:space="preserve"> grad </w:t>
      </w:r>
      <w:r w:rsidR="00AB2FE5">
        <w:rPr>
          <w:rFonts w:ascii="Times New Roman" w:hAnsi="Times New Roman"/>
          <w:sz w:val="24"/>
          <w:szCs w:val="24"/>
          <w:lang w:val="nn-NO"/>
        </w:rPr>
        <w:t>hadde</w:t>
      </w:r>
      <w:r w:rsidR="008F15B3">
        <w:rPr>
          <w:rFonts w:ascii="Times New Roman" w:hAnsi="Times New Roman"/>
          <w:sz w:val="24"/>
          <w:szCs w:val="24"/>
          <w:lang w:val="nn-NO"/>
        </w:rPr>
        <w:t xml:space="preserve"> fokus på å avgrensa og førebyggja</w:t>
      </w:r>
      <w:r w:rsidR="00151E66">
        <w:rPr>
          <w:rFonts w:ascii="Times New Roman" w:hAnsi="Times New Roman"/>
          <w:sz w:val="24"/>
          <w:szCs w:val="24"/>
          <w:lang w:val="nn-NO"/>
        </w:rPr>
        <w:t xml:space="preserve"> sjukdom. </w:t>
      </w:r>
      <w:r w:rsidR="00151E66" w:rsidRPr="00AB2FE5">
        <w:rPr>
          <w:rFonts w:ascii="Times New Roman" w:hAnsi="Times New Roman"/>
          <w:sz w:val="24"/>
          <w:szCs w:val="24"/>
          <w:lang w:val="nn-NO"/>
        </w:rPr>
        <w:t>Hovu</w:t>
      </w:r>
      <w:r w:rsidRPr="00AB2FE5">
        <w:rPr>
          <w:rFonts w:ascii="Times New Roman" w:hAnsi="Times New Roman"/>
          <w:sz w:val="24"/>
          <w:szCs w:val="24"/>
          <w:lang w:val="nn-NO"/>
        </w:rPr>
        <w:t>dstrategien for å nå</w:t>
      </w:r>
      <w:r w:rsidR="00151E66" w:rsidRPr="00AB2FE5">
        <w:rPr>
          <w:rFonts w:ascii="Times New Roman" w:hAnsi="Times New Roman"/>
          <w:sz w:val="24"/>
          <w:szCs w:val="24"/>
          <w:lang w:val="nn-NO"/>
        </w:rPr>
        <w:t xml:space="preserve"> måla var difor at kommuna</w:t>
      </w:r>
      <w:r w:rsidRPr="00AB2FE5">
        <w:rPr>
          <w:rFonts w:ascii="Times New Roman" w:hAnsi="Times New Roman"/>
          <w:sz w:val="24"/>
          <w:szCs w:val="24"/>
          <w:lang w:val="nn-NO"/>
        </w:rPr>
        <w:t xml:space="preserve">ne, </w:t>
      </w:r>
      <w:r w:rsidR="00151E66" w:rsidRPr="00AB2FE5">
        <w:rPr>
          <w:rFonts w:ascii="Times New Roman" w:hAnsi="Times New Roman"/>
          <w:sz w:val="24"/>
          <w:szCs w:val="24"/>
          <w:lang w:val="nn-NO"/>
        </w:rPr>
        <w:t>«</w:t>
      </w:r>
      <w:r w:rsidR="004A443B">
        <w:rPr>
          <w:rFonts w:ascii="Times New Roman" w:hAnsi="Times New Roman"/>
          <w:sz w:val="24"/>
          <w:szCs w:val="24"/>
          <w:lang w:val="nn-NO"/>
        </w:rPr>
        <w:t>i større grad enn i dag, skal</w:t>
      </w:r>
      <w:r w:rsidR="008F15B3">
        <w:rPr>
          <w:rFonts w:ascii="Times New Roman" w:hAnsi="Times New Roman"/>
          <w:sz w:val="24"/>
          <w:szCs w:val="24"/>
          <w:lang w:val="nn-NO"/>
        </w:rPr>
        <w:t xml:space="preserve"> satse på </w:t>
      </w:r>
      <w:proofErr w:type="spellStart"/>
      <w:r w:rsidR="008F15B3">
        <w:rPr>
          <w:rFonts w:ascii="Times New Roman" w:hAnsi="Times New Roman"/>
          <w:sz w:val="24"/>
          <w:szCs w:val="24"/>
          <w:lang w:val="nn-NO"/>
        </w:rPr>
        <w:t>forebygging</w:t>
      </w:r>
      <w:proofErr w:type="spellEnd"/>
      <w:r w:rsidRPr="00AB2FE5">
        <w:rPr>
          <w:rFonts w:ascii="Times New Roman" w:hAnsi="Times New Roman"/>
          <w:sz w:val="24"/>
          <w:szCs w:val="24"/>
          <w:lang w:val="nn-NO"/>
        </w:rPr>
        <w:t xml:space="preserve"> og innsats</w:t>
      </w:r>
      <w:r w:rsidR="00AB2FE5">
        <w:rPr>
          <w:rFonts w:ascii="Times New Roman" w:hAnsi="Times New Roman"/>
          <w:sz w:val="24"/>
          <w:szCs w:val="24"/>
          <w:lang w:val="nn-NO"/>
        </w:rPr>
        <w:t xml:space="preserve"> i </w:t>
      </w:r>
      <w:proofErr w:type="spellStart"/>
      <w:r w:rsidR="00AB2FE5">
        <w:rPr>
          <w:rFonts w:ascii="Times New Roman" w:hAnsi="Times New Roman"/>
          <w:sz w:val="24"/>
          <w:szCs w:val="24"/>
          <w:lang w:val="nn-NO"/>
        </w:rPr>
        <w:t>sykdomsforløpenes</w:t>
      </w:r>
      <w:proofErr w:type="spellEnd"/>
      <w:r w:rsidR="00AB2FE5">
        <w:rPr>
          <w:rFonts w:ascii="Times New Roman" w:hAnsi="Times New Roman"/>
          <w:sz w:val="24"/>
          <w:szCs w:val="24"/>
          <w:lang w:val="nn-NO"/>
        </w:rPr>
        <w:t xml:space="preserve"> tidlige </w:t>
      </w:r>
      <w:proofErr w:type="spellStart"/>
      <w:r w:rsidR="00AB2FE5">
        <w:rPr>
          <w:rFonts w:ascii="Times New Roman" w:hAnsi="Times New Roman"/>
          <w:sz w:val="24"/>
          <w:szCs w:val="24"/>
          <w:lang w:val="nn-NO"/>
        </w:rPr>
        <w:t>faser</w:t>
      </w:r>
      <w:proofErr w:type="spellEnd"/>
      <w:r w:rsidR="00AB2FE5">
        <w:rPr>
          <w:rFonts w:ascii="Times New Roman" w:hAnsi="Times New Roman"/>
          <w:sz w:val="24"/>
          <w:szCs w:val="24"/>
          <w:lang w:val="nn-NO"/>
        </w:rPr>
        <w:t xml:space="preserve">, </w:t>
      </w:r>
      <w:r w:rsidRPr="00AB2FE5">
        <w:rPr>
          <w:rFonts w:ascii="Times New Roman" w:hAnsi="Times New Roman"/>
          <w:sz w:val="24"/>
          <w:szCs w:val="24"/>
          <w:lang w:val="nn-NO"/>
        </w:rPr>
        <w:t xml:space="preserve">samt økt innsats </w:t>
      </w:r>
      <w:proofErr w:type="spellStart"/>
      <w:r w:rsidRPr="00AB2FE5">
        <w:rPr>
          <w:rFonts w:ascii="Times New Roman" w:hAnsi="Times New Roman"/>
          <w:sz w:val="24"/>
          <w:szCs w:val="24"/>
          <w:lang w:val="nn-NO"/>
        </w:rPr>
        <w:t>innen</w:t>
      </w:r>
      <w:proofErr w:type="spellEnd"/>
      <w:r w:rsidRPr="00AB2FE5">
        <w:rPr>
          <w:rFonts w:ascii="Times New Roman" w:hAnsi="Times New Roman"/>
          <w:sz w:val="24"/>
          <w:szCs w:val="24"/>
          <w:lang w:val="nn-NO"/>
        </w:rPr>
        <w:t xml:space="preserve"> </w:t>
      </w:r>
      <w:proofErr w:type="spellStart"/>
      <w:r w:rsidRPr="00AB2FE5">
        <w:rPr>
          <w:rFonts w:ascii="Times New Roman" w:hAnsi="Times New Roman"/>
          <w:sz w:val="24"/>
          <w:szCs w:val="24"/>
          <w:lang w:val="nn-NO"/>
        </w:rPr>
        <w:t>habilitering</w:t>
      </w:r>
      <w:proofErr w:type="spellEnd"/>
      <w:r w:rsidRPr="00AB2FE5">
        <w:rPr>
          <w:rFonts w:ascii="Times New Roman" w:hAnsi="Times New Roman"/>
          <w:sz w:val="24"/>
          <w:szCs w:val="24"/>
          <w:lang w:val="nn-NO"/>
        </w:rPr>
        <w:t xml:space="preserve"> og reh</w:t>
      </w:r>
      <w:r w:rsidR="00151E66" w:rsidRPr="00AB2FE5">
        <w:rPr>
          <w:rFonts w:ascii="Times New Roman" w:hAnsi="Times New Roman"/>
          <w:sz w:val="24"/>
          <w:szCs w:val="24"/>
          <w:lang w:val="nn-NO"/>
        </w:rPr>
        <w:t>abilitering.»</w:t>
      </w:r>
    </w:p>
    <w:p w14:paraId="3DFC4E4C" w14:textId="77777777" w:rsidR="00AB2FE5" w:rsidRDefault="00FC4669" w:rsidP="006200B3">
      <w:pPr>
        <w:rPr>
          <w:rFonts w:ascii="Times New Roman" w:hAnsi="Times New Roman"/>
          <w:sz w:val="24"/>
          <w:szCs w:val="24"/>
        </w:rPr>
      </w:pPr>
      <w:r w:rsidRPr="00FC4669">
        <w:rPr>
          <w:rFonts w:ascii="Times New Roman" w:hAnsi="Times New Roman"/>
          <w:sz w:val="24"/>
          <w:szCs w:val="24"/>
        </w:rPr>
        <w:t xml:space="preserve">«I samhandlingsreformen </w:t>
      </w:r>
      <w:r>
        <w:rPr>
          <w:rFonts w:ascii="Times New Roman" w:hAnsi="Times New Roman"/>
          <w:sz w:val="24"/>
          <w:szCs w:val="24"/>
        </w:rPr>
        <w:t>legges det til grunn at den forventede veksten i behov</w:t>
      </w:r>
      <w:r w:rsidR="008F15B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for en samlet helsetjeneste</w:t>
      </w:r>
      <w:r w:rsidR="008F15B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i størst mulig grad </w:t>
      </w:r>
      <w:r w:rsidR="006200B3" w:rsidRPr="00FC4669">
        <w:rPr>
          <w:rFonts w:ascii="Times New Roman" w:hAnsi="Times New Roman"/>
          <w:sz w:val="24"/>
          <w:szCs w:val="24"/>
        </w:rPr>
        <w:t>må finne sin løsning i kommunene.</w:t>
      </w:r>
      <w:r w:rsidR="00151E66" w:rsidRPr="00FC4669">
        <w:rPr>
          <w:rFonts w:ascii="Times New Roman" w:hAnsi="Times New Roman"/>
          <w:sz w:val="24"/>
          <w:szCs w:val="24"/>
        </w:rPr>
        <w:t>»</w:t>
      </w:r>
      <w:r w:rsidR="006200B3" w:rsidRPr="00FC4669">
        <w:rPr>
          <w:rFonts w:ascii="Times New Roman" w:hAnsi="Times New Roman"/>
          <w:sz w:val="24"/>
          <w:szCs w:val="24"/>
        </w:rPr>
        <w:t xml:space="preserve">  </w:t>
      </w:r>
      <w:r w:rsidR="00554052">
        <w:rPr>
          <w:rFonts w:ascii="Times New Roman" w:hAnsi="Times New Roman"/>
          <w:sz w:val="24"/>
          <w:szCs w:val="24"/>
        </w:rPr>
        <w:t xml:space="preserve">(St.meld. 47, 2008 – 2009 – </w:t>
      </w:r>
      <w:r>
        <w:rPr>
          <w:rFonts w:ascii="Times New Roman" w:hAnsi="Times New Roman"/>
          <w:sz w:val="24"/>
          <w:szCs w:val="24"/>
        </w:rPr>
        <w:t>Samhandlingsreformen</w:t>
      </w:r>
      <w:r w:rsidR="0055405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135499F8" w14:textId="77777777" w:rsidR="00AB2FE5" w:rsidRPr="00554052" w:rsidRDefault="00554052" w:rsidP="006200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 var tverrpolitisk </w:t>
      </w:r>
      <w:r w:rsidR="00AB2FE5" w:rsidRPr="00A856C7">
        <w:rPr>
          <w:rFonts w:ascii="Times New Roman" w:hAnsi="Times New Roman"/>
          <w:sz w:val="24"/>
          <w:szCs w:val="24"/>
        </w:rPr>
        <w:t xml:space="preserve">semje om at </w:t>
      </w:r>
      <w:r w:rsidR="00223649">
        <w:rPr>
          <w:rFonts w:ascii="Times New Roman" w:hAnsi="Times New Roman"/>
          <w:sz w:val="24"/>
          <w:szCs w:val="24"/>
        </w:rPr>
        <w:t>«</w:t>
      </w:r>
      <w:r w:rsidR="00AB2FE5" w:rsidRPr="00A856C7">
        <w:rPr>
          <w:rFonts w:ascii="Times New Roman" w:hAnsi="Times New Roman"/>
          <w:sz w:val="24"/>
          <w:szCs w:val="24"/>
        </w:rPr>
        <w:t>kommunehelset</w:t>
      </w:r>
      <w:r w:rsidR="0004451D">
        <w:rPr>
          <w:rFonts w:ascii="Times New Roman" w:hAnsi="Times New Roman"/>
          <w:sz w:val="24"/>
          <w:szCs w:val="24"/>
        </w:rPr>
        <w:t>jene</w:t>
      </w:r>
      <w:r w:rsidR="00223649">
        <w:rPr>
          <w:rFonts w:ascii="Times New Roman" w:hAnsi="Times New Roman"/>
          <w:sz w:val="24"/>
          <w:szCs w:val="24"/>
        </w:rPr>
        <w:t>sten, med utvidet</w:t>
      </w:r>
      <w:r w:rsidR="004A443B" w:rsidRPr="00A856C7">
        <w:rPr>
          <w:rFonts w:ascii="Times New Roman" w:hAnsi="Times New Roman"/>
          <w:sz w:val="24"/>
          <w:szCs w:val="24"/>
        </w:rPr>
        <w:t xml:space="preserve"> ansvar for </w:t>
      </w:r>
      <w:r w:rsidR="00223649">
        <w:rPr>
          <w:rFonts w:ascii="Times New Roman" w:hAnsi="Times New Roman"/>
          <w:sz w:val="24"/>
          <w:szCs w:val="24"/>
        </w:rPr>
        <w:t>fo</w:t>
      </w:r>
      <w:r w:rsidR="00AB2FE5" w:rsidRPr="00A856C7">
        <w:rPr>
          <w:rFonts w:ascii="Times New Roman" w:hAnsi="Times New Roman"/>
          <w:sz w:val="24"/>
          <w:szCs w:val="24"/>
        </w:rPr>
        <w:t xml:space="preserve">rebygging, diagnostikk, behandling og </w:t>
      </w:r>
      <w:proofErr w:type="spellStart"/>
      <w:r w:rsidR="00AB2FE5" w:rsidRPr="00A856C7">
        <w:rPr>
          <w:rFonts w:ascii="Times New Roman" w:hAnsi="Times New Roman"/>
          <w:sz w:val="24"/>
          <w:szCs w:val="24"/>
        </w:rPr>
        <w:t>h</w:t>
      </w:r>
      <w:r w:rsidR="00223649">
        <w:rPr>
          <w:rFonts w:ascii="Times New Roman" w:hAnsi="Times New Roman"/>
          <w:sz w:val="24"/>
          <w:szCs w:val="24"/>
        </w:rPr>
        <w:t>abilitering</w:t>
      </w:r>
      <w:proofErr w:type="spellEnd"/>
      <w:r w:rsidR="00223649">
        <w:rPr>
          <w:rFonts w:ascii="Times New Roman" w:hAnsi="Times New Roman"/>
          <w:sz w:val="24"/>
          <w:szCs w:val="24"/>
        </w:rPr>
        <w:t xml:space="preserve">/rehabilitering var </w:t>
      </w:r>
      <w:r w:rsidR="00AB2FE5" w:rsidRPr="00A856C7">
        <w:rPr>
          <w:rFonts w:ascii="Times New Roman" w:hAnsi="Times New Roman"/>
          <w:sz w:val="24"/>
          <w:szCs w:val="24"/>
        </w:rPr>
        <w:t>bærebjelken i samhandlingsreformen</w:t>
      </w:r>
      <w:r w:rsidR="004A443B" w:rsidRPr="00A856C7">
        <w:rPr>
          <w:rFonts w:ascii="Times New Roman" w:hAnsi="Times New Roman"/>
          <w:sz w:val="24"/>
          <w:szCs w:val="24"/>
        </w:rPr>
        <w:t>»</w:t>
      </w:r>
      <w:r w:rsidR="00AB2FE5" w:rsidRPr="00A856C7">
        <w:rPr>
          <w:rFonts w:ascii="Times New Roman" w:hAnsi="Times New Roman"/>
          <w:sz w:val="24"/>
          <w:szCs w:val="24"/>
        </w:rPr>
        <w:t xml:space="preserve">. </w:t>
      </w:r>
      <w:r w:rsidR="004A443B" w:rsidRPr="00554052">
        <w:rPr>
          <w:rFonts w:ascii="Times New Roman" w:hAnsi="Times New Roman"/>
          <w:sz w:val="24"/>
          <w:szCs w:val="24"/>
        </w:rPr>
        <w:t>(</w:t>
      </w:r>
      <w:proofErr w:type="spellStart"/>
      <w:r w:rsidR="004A443B" w:rsidRPr="00554052">
        <w:rPr>
          <w:rFonts w:ascii="Times New Roman" w:hAnsi="Times New Roman"/>
          <w:sz w:val="24"/>
          <w:szCs w:val="24"/>
        </w:rPr>
        <w:t>Innst</w:t>
      </w:r>
      <w:proofErr w:type="spellEnd"/>
      <w:r w:rsidR="004A443B" w:rsidRPr="00554052">
        <w:rPr>
          <w:rFonts w:ascii="Times New Roman" w:hAnsi="Times New Roman"/>
          <w:sz w:val="24"/>
          <w:szCs w:val="24"/>
        </w:rPr>
        <w:t>. 212 2009-10, Stortinget)</w:t>
      </w:r>
    </w:p>
    <w:p w14:paraId="2FA38933" w14:textId="77777777" w:rsidR="006200B3" w:rsidRPr="0004451D" w:rsidRDefault="004A443B" w:rsidP="006200B3">
      <w:pPr>
        <w:rPr>
          <w:rFonts w:ascii="Times New Roman" w:hAnsi="Times New Roman"/>
          <w:sz w:val="24"/>
          <w:szCs w:val="24"/>
          <w:lang w:val="nn-NO"/>
        </w:rPr>
      </w:pPr>
      <w:r w:rsidRPr="0004451D">
        <w:rPr>
          <w:rFonts w:ascii="Times New Roman" w:hAnsi="Times New Roman"/>
          <w:sz w:val="24"/>
          <w:szCs w:val="24"/>
          <w:lang w:val="nn-NO"/>
        </w:rPr>
        <w:t>Som naturleg kon</w:t>
      </w:r>
      <w:r w:rsidR="0004451D" w:rsidRPr="0004451D">
        <w:rPr>
          <w:rFonts w:ascii="Times New Roman" w:hAnsi="Times New Roman"/>
          <w:sz w:val="24"/>
          <w:szCs w:val="24"/>
          <w:lang w:val="nn-NO"/>
        </w:rPr>
        <w:t>se</w:t>
      </w:r>
      <w:r w:rsidR="0004451D">
        <w:rPr>
          <w:rFonts w:ascii="Times New Roman" w:hAnsi="Times New Roman"/>
          <w:sz w:val="24"/>
          <w:szCs w:val="24"/>
          <w:lang w:val="nn-NO"/>
        </w:rPr>
        <w:t>kvens av refererte føresetnader</w:t>
      </w:r>
      <w:r w:rsidRPr="0004451D">
        <w:rPr>
          <w:rFonts w:ascii="Times New Roman" w:hAnsi="Times New Roman"/>
          <w:sz w:val="24"/>
          <w:szCs w:val="24"/>
          <w:lang w:val="nn-NO"/>
        </w:rPr>
        <w:t xml:space="preserve"> </w:t>
      </w:r>
      <w:r w:rsidRPr="008F15B3">
        <w:rPr>
          <w:rFonts w:ascii="Times New Roman" w:hAnsi="Times New Roman"/>
          <w:sz w:val="24"/>
          <w:szCs w:val="24"/>
          <w:lang w:val="nn-NO"/>
        </w:rPr>
        <w:t xml:space="preserve">var det og tverrpolitisk semje om </w:t>
      </w:r>
      <w:r w:rsidR="008F15B3" w:rsidRPr="008F15B3">
        <w:rPr>
          <w:rFonts w:ascii="Times New Roman" w:hAnsi="Times New Roman"/>
          <w:sz w:val="24"/>
          <w:szCs w:val="24"/>
          <w:lang w:val="nn-NO"/>
        </w:rPr>
        <w:t>fylgjande</w:t>
      </w:r>
      <w:r w:rsidR="006200B3" w:rsidRPr="008F15B3">
        <w:rPr>
          <w:rFonts w:ascii="Times New Roman" w:hAnsi="Times New Roman"/>
          <w:sz w:val="24"/>
          <w:szCs w:val="24"/>
          <w:lang w:val="nn-NO"/>
        </w:rPr>
        <w:t xml:space="preserve"> </w:t>
      </w:r>
      <w:r w:rsidR="006200B3" w:rsidRPr="008F15B3">
        <w:rPr>
          <w:rFonts w:ascii="Times New Roman" w:hAnsi="Times New Roman"/>
          <w:i/>
          <w:sz w:val="24"/>
          <w:szCs w:val="24"/>
          <w:lang w:val="nn-NO"/>
        </w:rPr>
        <w:t xml:space="preserve">strategiske </w:t>
      </w:r>
      <w:r w:rsidR="006200B3" w:rsidRPr="008F15B3">
        <w:rPr>
          <w:rFonts w:ascii="Times New Roman" w:hAnsi="Times New Roman"/>
          <w:sz w:val="24"/>
          <w:szCs w:val="24"/>
          <w:lang w:val="nn-NO"/>
        </w:rPr>
        <w:t>grep;</w:t>
      </w:r>
    </w:p>
    <w:p w14:paraId="2FD335A8" w14:textId="77777777" w:rsidR="008F15B3" w:rsidRPr="008F15B3" w:rsidRDefault="008F15B3" w:rsidP="008F15B3">
      <w:pPr>
        <w:pStyle w:val="Listeavsnitt"/>
        <w:numPr>
          <w:ilvl w:val="0"/>
          <w:numId w:val="26"/>
        </w:numPr>
      </w:pPr>
      <w:r>
        <w:t>«</w:t>
      </w:r>
      <w:r w:rsidRPr="008F15B3">
        <w:t>veksten i spesialisthelsetjenesten skal flate ut</w:t>
      </w:r>
    </w:p>
    <w:p w14:paraId="54BE367C" w14:textId="77777777" w:rsidR="006200B3" w:rsidRPr="008F15B3" w:rsidRDefault="008F15B3" w:rsidP="008F15B3">
      <w:pPr>
        <w:pStyle w:val="Listeavsnitt"/>
        <w:numPr>
          <w:ilvl w:val="0"/>
          <w:numId w:val="26"/>
        </w:numPr>
      </w:pPr>
      <w:r w:rsidRPr="008F15B3">
        <w:t>den</w:t>
      </w:r>
      <w:r>
        <w:t xml:space="preserve"> </w:t>
      </w:r>
      <w:r w:rsidR="006200B3" w:rsidRPr="008F15B3">
        <w:t>forventede veksten i helsetjenestene skal primært skje i kommunene</w:t>
      </w:r>
    </w:p>
    <w:p w14:paraId="203D25B0" w14:textId="77777777" w:rsidR="008F15B3" w:rsidRPr="008F15B3" w:rsidRDefault="006200B3" w:rsidP="008F15B3">
      <w:pPr>
        <w:pStyle w:val="Listeavsnitt"/>
        <w:numPr>
          <w:ilvl w:val="0"/>
          <w:numId w:val="26"/>
        </w:numPr>
      </w:pPr>
      <w:r w:rsidRPr="008F15B3">
        <w:t>veksten i legetjenesten i årene framover skal i hovedsak komme i kommunene»</w:t>
      </w:r>
    </w:p>
    <w:p w14:paraId="64DBA754" w14:textId="77777777" w:rsidR="008F15B3" w:rsidRPr="008F15B3" w:rsidRDefault="008F15B3" w:rsidP="008F15B3">
      <w:pPr>
        <w:rPr>
          <w:lang w:val="nn-NO"/>
        </w:rPr>
      </w:pPr>
      <w:r>
        <w:rPr>
          <w:lang w:val="nn-NO"/>
        </w:rPr>
        <w:t>I det vidare vert kvart av desse strategiske grepa vurdert om dei er følgt opp, og det vert konkludert med fylgjande:</w:t>
      </w:r>
    </w:p>
    <w:p w14:paraId="59AF2BEA" w14:textId="77777777" w:rsidR="008F15B3" w:rsidRPr="008F15B3" w:rsidRDefault="008F15B3" w:rsidP="008F15B3">
      <w:pPr>
        <w:pStyle w:val="Listeavsnitt"/>
        <w:numPr>
          <w:ilvl w:val="0"/>
          <w:numId w:val="26"/>
        </w:numPr>
        <w:rPr>
          <w:lang w:val="nn-NO"/>
        </w:rPr>
      </w:pPr>
      <w:r w:rsidRPr="008F15B3">
        <w:rPr>
          <w:lang w:val="nn-NO"/>
        </w:rPr>
        <w:t xml:space="preserve">Veksten i spesialisthelsetenesta har definitivt ikkje flata ut etter at Samhandlingsreforma vart sett i verk. </w:t>
      </w:r>
    </w:p>
    <w:p w14:paraId="30348727" w14:textId="77777777" w:rsidR="008F15B3" w:rsidRPr="008F15B3" w:rsidRDefault="008F15B3" w:rsidP="008F15B3">
      <w:pPr>
        <w:pStyle w:val="Listeavsnitt"/>
        <w:numPr>
          <w:ilvl w:val="0"/>
          <w:numId w:val="26"/>
        </w:numPr>
        <w:rPr>
          <w:lang w:val="nn-NO"/>
        </w:rPr>
      </w:pPr>
      <w:r w:rsidRPr="008F15B3">
        <w:rPr>
          <w:lang w:val="nn-NO"/>
        </w:rPr>
        <w:t xml:space="preserve">Regjering og Storting har ikkje lagt til rette for at den forventa veksten i helsetenesta primært skal skje i kommunane. </w:t>
      </w:r>
    </w:p>
    <w:p w14:paraId="6A31A028" w14:textId="77777777" w:rsidR="008F15B3" w:rsidRDefault="008F15B3" w:rsidP="008F15B3">
      <w:pPr>
        <w:pStyle w:val="Listeavsnitt"/>
        <w:numPr>
          <w:ilvl w:val="0"/>
          <w:numId w:val="26"/>
        </w:numPr>
      </w:pPr>
      <w:r w:rsidRPr="008F15B3">
        <w:rPr>
          <w:lang w:val="nn-NO"/>
        </w:rPr>
        <w:t xml:space="preserve">Kommunal prioritering av helse og omsorgstenester innom disponible rammer har delvis kompensert for manglande sentral prioritering. I 2014 auka brutto driftsutgifter til kommunane med 4,4 %. </w:t>
      </w:r>
      <w:r>
        <w:t xml:space="preserve">Likevel var veksten i kommunale </w:t>
      </w:r>
      <w:proofErr w:type="spellStart"/>
      <w:r>
        <w:t>helsetenester</w:t>
      </w:r>
      <w:proofErr w:type="spellEnd"/>
      <w:r>
        <w:t xml:space="preserve"> 8 % og pleie og </w:t>
      </w:r>
      <w:proofErr w:type="spellStart"/>
      <w:r>
        <w:t>omsorgstenester</w:t>
      </w:r>
      <w:proofErr w:type="spellEnd"/>
      <w:r>
        <w:t xml:space="preserve"> 6,8 %.</w:t>
      </w:r>
    </w:p>
    <w:p w14:paraId="0CDA1931" w14:textId="77777777" w:rsidR="008F15B3" w:rsidRPr="000F3BB2" w:rsidRDefault="008F15B3" w:rsidP="008F15B3">
      <w:pPr>
        <w:pStyle w:val="Listeavsnitt"/>
        <w:numPr>
          <w:ilvl w:val="0"/>
          <w:numId w:val="26"/>
        </w:numPr>
        <w:rPr>
          <w:lang w:val="nn-NO"/>
        </w:rPr>
      </w:pPr>
      <w:r w:rsidRPr="000F3BB2">
        <w:rPr>
          <w:lang w:val="nn-NO"/>
        </w:rPr>
        <w:t>Veksten i legetenestene har i hovudsak kome i spesialisthelsetenesta også etter at samhandlingsreforma vart vedtatt.</w:t>
      </w:r>
      <w:r w:rsidR="000F3BB2" w:rsidRPr="000F3BB2">
        <w:rPr>
          <w:lang w:val="nn-NO"/>
        </w:rPr>
        <w:t xml:space="preserve"> I perioden 2012 – 2014 er det oppretta 488 nye </w:t>
      </w:r>
      <w:r w:rsidR="000F3BB2" w:rsidRPr="000F3BB2">
        <w:rPr>
          <w:lang w:val="nn-NO"/>
        </w:rPr>
        <w:lastRenderedPageBreak/>
        <w:t>legestillingar i kommunane. I same periode er det oppretta 1351 nye legestillingar i spesialisthelsetenesta.</w:t>
      </w:r>
    </w:p>
    <w:p w14:paraId="26052D8A" w14:textId="77777777" w:rsidR="000F3BB2" w:rsidRDefault="000F3BB2" w:rsidP="000F3BB2">
      <w:pPr>
        <w:rPr>
          <w:rFonts w:ascii="Times New Roman" w:hAnsi="Times New Roman"/>
          <w:b/>
          <w:sz w:val="32"/>
          <w:szCs w:val="32"/>
        </w:rPr>
      </w:pPr>
    </w:p>
    <w:p w14:paraId="2FB0DE93" w14:textId="77777777" w:rsidR="00EE0672" w:rsidRPr="000F3BB2" w:rsidRDefault="008F15B3" w:rsidP="000F3BB2">
      <w:pPr>
        <w:rPr>
          <w:rFonts w:ascii="Times New Roman" w:hAnsi="Times New Roman"/>
          <w:b/>
          <w:sz w:val="28"/>
          <w:szCs w:val="28"/>
        </w:rPr>
      </w:pPr>
      <w:r w:rsidRPr="000F3BB2">
        <w:rPr>
          <w:rFonts w:ascii="Times New Roman" w:hAnsi="Times New Roman"/>
          <w:b/>
          <w:sz w:val="24"/>
          <w:szCs w:val="24"/>
        </w:rPr>
        <w:t xml:space="preserve"> </w:t>
      </w:r>
      <w:r w:rsidR="00CC7730" w:rsidRPr="000F3BB2">
        <w:rPr>
          <w:rFonts w:ascii="Times New Roman" w:hAnsi="Times New Roman"/>
          <w:b/>
          <w:sz w:val="28"/>
          <w:szCs w:val="28"/>
        </w:rPr>
        <w:t>«V</w:t>
      </w:r>
      <w:r w:rsidR="00EE0672" w:rsidRPr="000F3BB2">
        <w:rPr>
          <w:rFonts w:ascii="Times New Roman" w:hAnsi="Times New Roman"/>
          <w:b/>
          <w:sz w:val="28"/>
          <w:szCs w:val="28"/>
        </w:rPr>
        <w:t>eksten i spesialisthelset</w:t>
      </w:r>
      <w:r w:rsidR="00316303" w:rsidRPr="000F3BB2">
        <w:rPr>
          <w:rFonts w:ascii="Times New Roman" w:hAnsi="Times New Roman"/>
          <w:b/>
          <w:sz w:val="28"/>
          <w:szCs w:val="28"/>
        </w:rPr>
        <w:t>jenesten</w:t>
      </w:r>
      <w:r w:rsidR="00EE0672" w:rsidRPr="000F3BB2">
        <w:rPr>
          <w:rFonts w:ascii="Times New Roman" w:hAnsi="Times New Roman"/>
          <w:b/>
          <w:sz w:val="28"/>
          <w:szCs w:val="28"/>
        </w:rPr>
        <w:t xml:space="preserve"> </w:t>
      </w:r>
      <w:r w:rsidR="00B67DC7" w:rsidRPr="000F3BB2">
        <w:rPr>
          <w:rFonts w:ascii="Times New Roman" w:hAnsi="Times New Roman"/>
          <w:b/>
          <w:sz w:val="28"/>
          <w:szCs w:val="28"/>
        </w:rPr>
        <w:t>skal flate</w:t>
      </w:r>
      <w:r w:rsidR="00CC7730" w:rsidRPr="000F3BB2">
        <w:rPr>
          <w:rFonts w:ascii="Times New Roman" w:hAnsi="Times New Roman"/>
          <w:b/>
          <w:sz w:val="28"/>
          <w:szCs w:val="28"/>
        </w:rPr>
        <w:t xml:space="preserve"> ut»</w:t>
      </w:r>
    </w:p>
    <w:p w14:paraId="2F578645" w14:textId="77777777" w:rsidR="00A856C7" w:rsidRPr="00521494" w:rsidRDefault="00521494" w:rsidP="006200B3">
      <w:pPr>
        <w:rPr>
          <w:rFonts w:ascii="Times New Roman" w:hAnsi="Times New Roman"/>
          <w:sz w:val="24"/>
          <w:szCs w:val="24"/>
        </w:rPr>
      </w:pPr>
      <w:r w:rsidRPr="00521494">
        <w:rPr>
          <w:rFonts w:ascii="Times New Roman" w:hAnsi="Times New Roman"/>
          <w:sz w:val="24"/>
          <w:szCs w:val="24"/>
        </w:rPr>
        <w:t xml:space="preserve">Tab 1.1 Kjelde. </w:t>
      </w:r>
      <w:proofErr w:type="spellStart"/>
      <w:r w:rsidRPr="00521494">
        <w:rPr>
          <w:rFonts w:ascii="Times New Roman" w:hAnsi="Times New Roman"/>
          <w:sz w:val="24"/>
          <w:szCs w:val="24"/>
        </w:rPr>
        <w:t>Prop</w:t>
      </w:r>
      <w:proofErr w:type="spellEnd"/>
      <w:r w:rsidRPr="00521494">
        <w:rPr>
          <w:rFonts w:ascii="Times New Roman" w:hAnsi="Times New Roman"/>
          <w:sz w:val="24"/>
          <w:szCs w:val="24"/>
        </w:rPr>
        <w:t xml:space="preserve"> 1 S</w:t>
      </w:r>
      <w:r>
        <w:rPr>
          <w:rFonts w:ascii="Times New Roman" w:hAnsi="Times New Roman"/>
          <w:sz w:val="24"/>
          <w:szCs w:val="24"/>
        </w:rPr>
        <w:t xml:space="preserve"> Helse og omsorgsdepartementet, </w:t>
      </w:r>
      <w:proofErr w:type="spellStart"/>
      <w:r>
        <w:rPr>
          <w:rFonts w:ascii="Times New Roman" w:hAnsi="Times New Roman"/>
          <w:sz w:val="24"/>
          <w:szCs w:val="24"/>
        </w:rPr>
        <w:t>kap</w:t>
      </w:r>
      <w:proofErr w:type="spellEnd"/>
      <w:r>
        <w:rPr>
          <w:rFonts w:ascii="Times New Roman" w:hAnsi="Times New Roman"/>
          <w:sz w:val="24"/>
          <w:szCs w:val="24"/>
        </w:rPr>
        <w:t>. 732 r</w:t>
      </w:r>
      <w:r w:rsidR="00A856C7" w:rsidRPr="00521494">
        <w:rPr>
          <w:rFonts w:ascii="Times New Roman" w:hAnsi="Times New Roman"/>
          <w:sz w:val="24"/>
          <w:szCs w:val="24"/>
        </w:rPr>
        <w:t xml:space="preserve">egionale </w:t>
      </w:r>
      <w:proofErr w:type="spellStart"/>
      <w:r w:rsidR="00A856C7" w:rsidRPr="00521494">
        <w:rPr>
          <w:rFonts w:ascii="Times New Roman" w:hAnsi="Times New Roman"/>
          <w:sz w:val="24"/>
          <w:szCs w:val="24"/>
        </w:rPr>
        <w:t>helseføretak</w:t>
      </w:r>
      <w:proofErr w:type="spellEnd"/>
      <w:r w:rsidR="00A856C7" w:rsidRPr="0052149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Mrd</w:t>
      </w:r>
      <w:proofErr w:type="spellEnd"/>
      <w:r>
        <w:rPr>
          <w:rFonts w:ascii="Times New Roman" w:hAnsi="Times New Roman"/>
          <w:sz w:val="24"/>
          <w:szCs w:val="24"/>
        </w:rPr>
        <w:t xml:space="preserve"> kr.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1559"/>
      </w:tblGrid>
      <w:tr w:rsidR="00EE0672" w14:paraId="7EC8BA84" w14:textId="77777777" w:rsidTr="00A856C7">
        <w:tc>
          <w:tcPr>
            <w:tcW w:w="1555" w:type="dxa"/>
          </w:tcPr>
          <w:p w14:paraId="4BC6C8E0" w14:textId="77777777" w:rsidR="00EE0672" w:rsidRDefault="00EE0672" w:rsidP="006200B3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År</w:t>
            </w:r>
          </w:p>
        </w:tc>
        <w:tc>
          <w:tcPr>
            <w:tcW w:w="3260" w:type="dxa"/>
          </w:tcPr>
          <w:p w14:paraId="241521FA" w14:textId="77777777" w:rsidR="00EE0672" w:rsidRDefault="00EE0672" w:rsidP="006200B3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Utgifter Spesiali</w:t>
            </w:r>
            <w:r w:rsidR="00A856C7">
              <w:rPr>
                <w:rFonts w:ascii="Times New Roman" w:hAnsi="Times New Roman"/>
                <w:sz w:val="24"/>
                <w:szCs w:val="24"/>
                <w:lang w:val="nn-NO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nn-NO"/>
              </w:rPr>
              <w:t>thel</w:t>
            </w:r>
            <w:r w:rsidR="00A856C7">
              <w:rPr>
                <w:rFonts w:ascii="Times New Roman" w:hAnsi="Times New Roman"/>
                <w:sz w:val="24"/>
                <w:szCs w:val="24"/>
                <w:lang w:val="nn-NO"/>
              </w:rPr>
              <w:t>setenesta. Kap. 732 Regionale fø</w:t>
            </w:r>
            <w:r>
              <w:rPr>
                <w:rFonts w:ascii="Times New Roman" w:hAnsi="Times New Roman"/>
                <w:sz w:val="24"/>
                <w:szCs w:val="24"/>
                <w:lang w:val="nn-NO"/>
              </w:rPr>
              <w:t>retak</w:t>
            </w:r>
          </w:p>
        </w:tc>
        <w:tc>
          <w:tcPr>
            <w:tcW w:w="1559" w:type="dxa"/>
          </w:tcPr>
          <w:p w14:paraId="59C53D2D" w14:textId="77777777" w:rsidR="00EE0672" w:rsidRDefault="00EE0672" w:rsidP="006200B3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Prosentvis auke</w:t>
            </w:r>
          </w:p>
        </w:tc>
      </w:tr>
      <w:tr w:rsidR="00EE0672" w14:paraId="4652C0CE" w14:textId="77777777" w:rsidTr="00A856C7">
        <w:tc>
          <w:tcPr>
            <w:tcW w:w="1555" w:type="dxa"/>
          </w:tcPr>
          <w:p w14:paraId="75A84B9E" w14:textId="77777777" w:rsidR="00EE0672" w:rsidRDefault="00EE0672" w:rsidP="006200B3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2012</w:t>
            </w:r>
          </w:p>
        </w:tc>
        <w:tc>
          <w:tcPr>
            <w:tcW w:w="3260" w:type="dxa"/>
          </w:tcPr>
          <w:p w14:paraId="5469DB5E" w14:textId="77777777" w:rsidR="00EE0672" w:rsidRDefault="00EE0672" w:rsidP="00EE067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106</w:t>
            </w:r>
            <w:r w:rsidR="00250372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nn-NO"/>
              </w:rPr>
              <w:t>210</w:t>
            </w:r>
          </w:p>
        </w:tc>
        <w:tc>
          <w:tcPr>
            <w:tcW w:w="1559" w:type="dxa"/>
          </w:tcPr>
          <w:p w14:paraId="7C117F6F" w14:textId="77777777" w:rsidR="00EE0672" w:rsidRDefault="00A46F1E" w:rsidP="00EE067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3,6 %</w:t>
            </w:r>
          </w:p>
        </w:tc>
      </w:tr>
      <w:tr w:rsidR="00EE0672" w14:paraId="5231A268" w14:textId="77777777" w:rsidTr="00A856C7">
        <w:tc>
          <w:tcPr>
            <w:tcW w:w="1555" w:type="dxa"/>
          </w:tcPr>
          <w:p w14:paraId="6FBB85DC" w14:textId="77777777" w:rsidR="00EE0672" w:rsidRDefault="00EE0672" w:rsidP="006200B3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2013</w:t>
            </w:r>
          </w:p>
        </w:tc>
        <w:tc>
          <w:tcPr>
            <w:tcW w:w="3260" w:type="dxa"/>
          </w:tcPr>
          <w:p w14:paraId="080B3FC3" w14:textId="77777777" w:rsidR="00EE0672" w:rsidRDefault="00EE0672" w:rsidP="00EE067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112</w:t>
            </w:r>
            <w:r w:rsidR="00250372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nn-NO"/>
              </w:rPr>
              <w:t>291</w:t>
            </w:r>
          </w:p>
        </w:tc>
        <w:tc>
          <w:tcPr>
            <w:tcW w:w="1559" w:type="dxa"/>
          </w:tcPr>
          <w:p w14:paraId="3299D29D" w14:textId="77777777" w:rsidR="00EE0672" w:rsidRDefault="00A46F1E" w:rsidP="00EE067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5,7 %</w:t>
            </w:r>
          </w:p>
        </w:tc>
      </w:tr>
      <w:tr w:rsidR="00EE0672" w14:paraId="7FB9E6AA" w14:textId="77777777" w:rsidTr="00A856C7">
        <w:tc>
          <w:tcPr>
            <w:tcW w:w="1555" w:type="dxa"/>
          </w:tcPr>
          <w:p w14:paraId="553053A9" w14:textId="77777777" w:rsidR="00EE0672" w:rsidRDefault="00EE0672" w:rsidP="006200B3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2014</w:t>
            </w:r>
          </w:p>
        </w:tc>
        <w:tc>
          <w:tcPr>
            <w:tcW w:w="3260" w:type="dxa"/>
          </w:tcPr>
          <w:p w14:paraId="3A06591B" w14:textId="77777777" w:rsidR="00EE0672" w:rsidRDefault="00A46F1E" w:rsidP="00EE067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118</w:t>
            </w:r>
            <w:r w:rsidR="00250372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nn-NO"/>
              </w:rPr>
              <w:t>623</w:t>
            </w:r>
          </w:p>
          <w:p w14:paraId="20952B11" w14:textId="77777777" w:rsidR="00A46F1E" w:rsidRDefault="00A46F1E" w:rsidP="00EE067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118</w:t>
            </w:r>
            <w:r w:rsidR="00250372">
              <w:rPr>
                <w:rFonts w:ascii="Times New Roman" w:hAnsi="Times New Roman"/>
                <w:sz w:val="24"/>
                <w:szCs w:val="24"/>
                <w:lang w:val="nn-NO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nn-NO"/>
              </w:rPr>
              <w:t>978</w:t>
            </w:r>
            <w:r w:rsidR="00250372">
              <w:rPr>
                <w:rFonts w:ascii="Times New Roman" w:hAnsi="Times New Roman"/>
                <w:sz w:val="24"/>
                <w:szCs w:val="24"/>
                <w:lang w:val="nn-NO"/>
              </w:rPr>
              <w:t>*</w:t>
            </w:r>
          </w:p>
        </w:tc>
        <w:tc>
          <w:tcPr>
            <w:tcW w:w="1559" w:type="dxa"/>
          </w:tcPr>
          <w:p w14:paraId="15A1DEE1" w14:textId="77777777" w:rsidR="00EE0672" w:rsidRDefault="00A46F1E" w:rsidP="00EE067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5,6 %</w:t>
            </w:r>
          </w:p>
          <w:p w14:paraId="7DF01DF3" w14:textId="77777777" w:rsidR="00A46F1E" w:rsidRDefault="00A46F1E" w:rsidP="00EE067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6,0 %</w:t>
            </w:r>
          </w:p>
        </w:tc>
      </w:tr>
      <w:tr w:rsidR="00EE0672" w14:paraId="6DD120E8" w14:textId="77777777" w:rsidTr="00A856C7">
        <w:tc>
          <w:tcPr>
            <w:tcW w:w="1555" w:type="dxa"/>
          </w:tcPr>
          <w:p w14:paraId="19D2FD79" w14:textId="77777777" w:rsidR="00EE0672" w:rsidRDefault="00EE0672" w:rsidP="006200B3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2015</w:t>
            </w:r>
          </w:p>
        </w:tc>
        <w:tc>
          <w:tcPr>
            <w:tcW w:w="3260" w:type="dxa"/>
          </w:tcPr>
          <w:p w14:paraId="4E52CC38" w14:textId="77777777" w:rsidR="00EE0672" w:rsidRDefault="00250372" w:rsidP="00EE067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131 427</w:t>
            </w:r>
          </w:p>
        </w:tc>
        <w:tc>
          <w:tcPr>
            <w:tcW w:w="1559" w:type="dxa"/>
          </w:tcPr>
          <w:p w14:paraId="59716233" w14:textId="77777777" w:rsidR="00EE0672" w:rsidRDefault="00C8523B" w:rsidP="00EE067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 xml:space="preserve">6,9 </w:t>
            </w:r>
            <w:r w:rsidR="00250372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%</w:t>
            </w:r>
          </w:p>
        </w:tc>
      </w:tr>
      <w:tr w:rsidR="00EE0672" w14:paraId="6736ED81" w14:textId="77777777" w:rsidTr="00A856C7">
        <w:tc>
          <w:tcPr>
            <w:tcW w:w="1555" w:type="dxa"/>
          </w:tcPr>
          <w:p w14:paraId="0AE85115" w14:textId="77777777" w:rsidR="00EE0672" w:rsidRDefault="00EE0672" w:rsidP="006200B3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2016</w:t>
            </w:r>
          </w:p>
        </w:tc>
        <w:tc>
          <w:tcPr>
            <w:tcW w:w="3260" w:type="dxa"/>
          </w:tcPr>
          <w:p w14:paraId="0D7B3C38" w14:textId="77777777" w:rsidR="00EE0672" w:rsidRDefault="00250372" w:rsidP="00EE067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140 504</w:t>
            </w:r>
          </w:p>
        </w:tc>
        <w:tc>
          <w:tcPr>
            <w:tcW w:w="1559" w:type="dxa"/>
          </w:tcPr>
          <w:p w14:paraId="4BC1DC8D" w14:textId="77777777" w:rsidR="00EE0672" w:rsidRDefault="00250372" w:rsidP="00EE067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6,8 %</w:t>
            </w:r>
          </w:p>
        </w:tc>
      </w:tr>
    </w:tbl>
    <w:p w14:paraId="4142575D" w14:textId="77777777" w:rsidR="00EE0672" w:rsidRPr="00716DF3" w:rsidRDefault="00A856C7" w:rsidP="006200B3">
      <w:pPr>
        <w:rPr>
          <w:rFonts w:ascii="Times New Roman" w:hAnsi="Times New Roman"/>
          <w:sz w:val="24"/>
          <w:szCs w:val="24"/>
          <w:lang w:val="nn-NO"/>
        </w:rPr>
      </w:pPr>
      <w:r>
        <w:rPr>
          <w:rFonts w:ascii="Times New Roman" w:hAnsi="Times New Roman"/>
          <w:i/>
          <w:sz w:val="24"/>
          <w:szCs w:val="24"/>
        </w:rPr>
        <w:t>Kommentar</w:t>
      </w:r>
      <w:r w:rsidR="00250372" w:rsidRPr="00A856C7">
        <w:rPr>
          <w:rFonts w:ascii="Times New Roman" w:hAnsi="Times New Roman"/>
          <w:i/>
          <w:sz w:val="24"/>
          <w:szCs w:val="24"/>
        </w:rPr>
        <w:t xml:space="preserve">; </w:t>
      </w:r>
      <w:proofErr w:type="spellStart"/>
      <w:r w:rsidR="00554052">
        <w:rPr>
          <w:rFonts w:ascii="Times New Roman" w:hAnsi="Times New Roman"/>
          <w:sz w:val="24"/>
          <w:szCs w:val="24"/>
        </w:rPr>
        <w:t>Tal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F3BB2">
        <w:rPr>
          <w:rFonts w:ascii="Times New Roman" w:hAnsi="Times New Roman"/>
          <w:sz w:val="24"/>
          <w:szCs w:val="24"/>
        </w:rPr>
        <w:t>viser</w:t>
      </w:r>
      <w:r w:rsidR="00250372" w:rsidRPr="00A856C7">
        <w:rPr>
          <w:rFonts w:ascii="Times New Roman" w:hAnsi="Times New Roman"/>
          <w:sz w:val="24"/>
          <w:szCs w:val="24"/>
        </w:rPr>
        <w:t xml:space="preserve"> at regje</w:t>
      </w:r>
      <w:r w:rsidR="000F3BB2">
        <w:rPr>
          <w:rFonts w:ascii="Times New Roman" w:hAnsi="Times New Roman"/>
          <w:sz w:val="24"/>
          <w:szCs w:val="24"/>
        </w:rPr>
        <w:t xml:space="preserve">ring og Storting </w:t>
      </w:r>
      <w:proofErr w:type="spellStart"/>
      <w:r w:rsidR="000F3BB2">
        <w:rPr>
          <w:rFonts w:ascii="Times New Roman" w:hAnsi="Times New Roman"/>
          <w:sz w:val="24"/>
          <w:szCs w:val="24"/>
        </w:rPr>
        <w:t>ikkje</w:t>
      </w:r>
      <w:proofErr w:type="spellEnd"/>
      <w:r w:rsidR="000F3BB2">
        <w:rPr>
          <w:rFonts w:ascii="Times New Roman" w:hAnsi="Times New Roman"/>
          <w:sz w:val="24"/>
          <w:szCs w:val="24"/>
        </w:rPr>
        <w:t xml:space="preserve"> har </w:t>
      </w:r>
      <w:proofErr w:type="spellStart"/>
      <w:r w:rsidR="000F3BB2">
        <w:rPr>
          <w:rFonts w:ascii="Times New Roman" w:hAnsi="Times New Roman"/>
          <w:sz w:val="24"/>
          <w:szCs w:val="24"/>
        </w:rPr>
        <w:t>følgt</w:t>
      </w:r>
      <w:proofErr w:type="spellEnd"/>
      <w:r w:rsidR="00250372" w:rsidRPr="00A856C7">
        <w:rPr>
          <w:rFonts w:ascii="Times New Roman" w:hAnsi="Times New Roman"/>
          <w:sz w:val="24"/>
          <w:szCs w:val="24"/>
        </w:rPr>
        <w:t xml:space="preserve"> opp sine klart formulerte </w:t>
      </w:r>
      <w:proofErr w:type="spellStart"/>
      <w:r w:rsidR="0004451D">
        <w:rPr>
          <w:rFonts w:ascii="Times New Roman" w:hAnsi="Times New Roman"/>
          <w:sz w:val="24"/>
          <w:szCs w:val="24"/>
        </w:rPr>
        <w:t>føresetnade</w:t>
      </w:r>
      <w:r w:rsidR="00250372" w:rsidRPr="00A856C7">
        <w:rPr>
          <w:rFonts w:ascii="Times New Roman" w:hAnsi="Times New Roman"/>
          <w:sz w:val="24"/>
          <w:szCs w:val="24"/>
        </w:rPr>
        <w:t>r</w:t>
      </w:r>
      <w:proofErr w:type="spellEnd"/>
      <w:r w:rsidR="00250372" w:rsidRPr="00A856C7">
        <w:rPr>
          <w:rFonts w:ascii="Times New Roman" w:hAnsi="Times New Roman"/>
          <w:sz w:val="24"/>
          <w:szCs w:val="24"/>
        </w:rPr>
        <w:t xml:space="preserve"> om «at veksten i spesialisthelsetjenesten skal flate ut».</w:t>
      </w:r>
      <w:r w:rsidR="00716DF3">
        <w:rPr>
          <w:rFonts w:ascii="Times New Roman" w:hAnsi="Times New Roman"/>
          <w:sz w:val="24"/>
          <w:szCs w:val="24"/>
        </w:rPr>
        <w:t xml:space="preserve"> </w:t>
      </w:r>
    </w:p>
    <w:p w14:paraId="291E5B09" w14:textId="4D9AA8CC" w:rsidR="000C5354" w:rsidRPr="00716DF3" w:rsidRDefault="006200B3" w:rsidP="006200B3">
      <w:pPr>
        <w:rPr>
          <w:rFonts w:ascii="Times New Roman" w:hAnsi="Times New Roman"/>
          <w:sz w:val="24"/>
          <w:szCs w:val="24"/>
          <w:lang w:val="nn-NO"/>
        </w:rPr>
      </w:pPr>
      <w:r w:rsidRPr="00716DF3">
        <w:rPr>
          <w:rFonts w:ascii="Times New Roman" w:hAnsi="Times New Roman"/>
          <w:i/>
          <w:sz w:val="24"/>
          <w:szCs w:val="24"/>
          <w:lang w:val="nn-NO"/>
        </w:rPr>
        <w:t>Stortingsvalkampen</w:t>
      </w:r>
      <w:r w:rsidR="000C5354" w:rsidRPr="00716DF3">
        <w:rPr>
          <w:rFonts w:ascii="Times New Roman" w:hAnsi="Times New Roman"/>
          <w:i/>
          <w:sz w:val="24"/>
          <w:szCs w:val="24"/>
          <w:lang w:val="nn-NO"/>
        </w:rPr>
        <w:t>,</w:t>
      </w:r>
      <w:r w:rsidRPr="00716DF3">
        <w:rPr>
          <w:rFonts w:ascii="Times New Roman" w:hAnsi="Times New Roman"/>
          <w:i/>
          <w:sz w:val="24"/>
          <w:szCs w:val="24"/>
          <w:lang w:val="nn-NO"/>
        </w:rPr>
        <w:t xml:space="preserve"> </w:t>
      </w:r>
      <w:r w:rsidR="00C22B88" w:rsidRPr="00716DF3">
        <w:rPr>
          <w:rFonts w:ascii="Times New Roman" w:hAnsi="Times New Roman"/>
          <w:i/>
          <w:sz w:val="24"/>
          <w:szCs w:val="24"/>
          <w:lang w:val="nn-NO"/>
        </w:rPr>
        <w:t>hauste</w:t>
      </w:r>
      <w:r w:rsidR="00E73857" w:rsidRPr="00716DF3">
        <w:rPr>
          <w:rFonts w:ascii="Times New Roman" w:hAnsi="Times New Roman"/>
          <w:i/>
          <w:sz w:val="24"/>
          <w:szCs w:val="24"/>
          <w:lang w:val="nn-NO"/>
        </w:rPr>
        <w:t>n</w:t>
      </w:r>
      <w:r w:rsidR="00C22B88" w:rsidRPr="00716DF3">
        <w:rPr>
          <w:rFonts w:ascii="Times New Roman" w:hAnsi="Times New Roman"/>
          <w:i/>
          <w:sz w:val="24"/>
          <w:szCs w:val="24"/>
          <w:lang w:val="nn-NO"/>
        </w:rPr>
        <w:t xml:space="preserve"> 2013</w:t>
      </w:r>
      <w:r w:rsidR="00716DF3" w:rsidRPr="00716DF3">
        <w:rPr>
          <w:rFonts w:ascii="Times New Roman" w:hAnsi="Times New Roman"/>
          <w:sz w:val="24"/>
          <w:szCs w:val="24"/>
          <w:lang w:val="nn-NO"/>
        </w:rPr>
        <w:t xml:space="preserve"> understreka tematikken særs</w:t>
      </w:r>
      <w:r w:rsidR="000C5354" w:rsidRPr="00716DF3">
        <w:rPr>
          <w:rFonts w:ascii="Times New Roman" w:hAnsi="Times New Roman"/>
          <w:sz w:val="24"/>
          <w:szCs w:val="24"/>
          <w:lang w:val="nn-NO"/>
        </w:rPr>
        <w:t xml:space="preserve"> </w:t>
      </w:r>
      <w:r w:rsidR="00716DF3" w:rsidRPr="00716DF3">
        <w:rPr>
          <w:rFonts w:ascii="Times New Roman" w:hAnsi="Times New Roman"/>
          <w:sz w:val="24"/>
          <w:szCs w:val="24"/>
          <w:lang w:val="nn-NO"/>
        </w:rPr>
        <w:t>klart.</w:t>
      </w:r>
      <w:r w:rsidR="00F51064">
        <w:rPr>
          <w:rFonts w:ascii="Times New Roman" w:hAnsi="Times New Roman"/>
          <w:sz w:val="24"/>
          <w:szCs w:val="24"/>
          <w:lang w:val="nn-NO"/>
        </w:rPr>
        <w:t xml:space="preserve"> Der</w:t>
      </w:r>
      <w:r w:rsidR="000C5354" w:rsidRPr="00716DF3">
        <w:rPr>
          <w:rFonts w:ascii="Times New Roman" w:hAnsi="Times New Roman"/>
          <w:sz w:val="24"/>
          <w:szCs w:val="24"/>
          <w:lang w:val="nn-NO"/>
        </w:rPr>
        <w:t xml:space="preserve"> </w:t>
      </w:r>
      <w:r w:rsidR="00C22B88" w:rsidRPr="00716DF3">
        <w:rPr>
          <w:rFonts w:ascii="Times New Roman" w:hAnsi="Times New Roman"/>
          <w:sz w:val="24"/>
          <w:szCs w:val="24"/>
          <w:lang w:val="nn-NO"/>
        </w:rPr>
        <w:t xml:space="preserve">var </w:t>
      </w:r>
      <w:r w:rsidRPr="00716DF3">
        <w:rPr>
          <w:rFonts w:ascii="Times New Roman" w:hAnsi="Times New Roman"/>
          <w:sz w:val="24"/>
          <w:szCs w:val="24"/>
          <w:lang w:val="nn-NO"/>
        </w:rPr>
        <w:t>det e</w:t>
      </w:r>
      <w:r w:rsidR="00C22B88" w:rsidRPr="00716DF3">
        <w:rPr>
          <w:rFonts w:ascii="Times New Roman" w:hAnsi="Times New Roman"/>
          <w:sz w:val="24"/>
          <w:szCs w:val="24"/>
          <w:lang w:val="nn-NO"/>
        </w:rPr>
        <w:t>i</w:t>
      </w:r>
      <w:r w:rsidRPr="00716DF3">
        <w:rPr>
          <w:rFonts w:ascii="Times New Roman" w:hAnsi="Times New Roman"/>
          <w:sz w:val="24"/>
          <w:szCs w:val="24"/>
          <w:lang w:val="nn-NO"/>
        </w:rPr>
        <w:t>tt tema som fullstendig dominer</w:t>
      </w:r>
      <w:r w:rsidR="000C5354" w:rsidRPr="00716DF3">
        <w:rPr>
          <w:rFonts w:ascii="Times New Roman" w:hAnsi="Times New Roman"/>
          <w:sz w:val="24"/>
          <w:szCs w:val="24"/>
          <w:lang w:val="nn-NO"/>
        </w:rPr>
        <w:t xml:space="preserve">te den helsepolitiske debatten, </w:t>
      </w:r>
      <w:r w:rsidR="000F3BB2">
        <w:rPr>
          <w:rFonts w:ascii="Times New Roman" w:hAnsi="Times New Roman"/>
          <w:sz w:val="24"/>
          <w:szCs w:val="24"/>
          <w:lang w:val="nn-NO"/>
        </w:rPr>
        <w:t>behovet for å styrka</w:t>
      </w:r>
      <w:r w:rsidRPr="00716DF3">
        <w:rPr>
          <w:rFonts w:ascii="Times New Roman" w:hAnsi="Times New Roman"/>
          <w:sz w:val="24"/>
          <w:szCs w:val="24"/>
          <w:lang w:val="nn-NO"/>
        </w:rPr>
        <w:t xml:space="preserve"> og </w:t>
      </w:r>
      <w:r w:rsidR="000F3BB2">
        <w:rPr>
          <w:rFonts w:ascii="Times New Roman" w:hAnsi="Times New Roman"/>
          <w:sz w:val="24"/>
          <w:szCs w:val="24"/>
          <w:lang w:val="nn-NO"/>
        </w:rPr>
        <w:t>utvikla</w:t>
      </w:r>
      <w:r w:rsidR="003F559F">
        <w:rPr>
          <w:rFonts w:ascii="Times New Roman" w:hAnsi="Times New Roman"/>
          <w:sz w:val="24"/>
          <w:szCs w:val="24"/>
          <w:lang w:val="nn-NO"/>
        </w:rPr>
        <w:t xml:space="preserve"> spesialisthelsetenesta</w:t>
      </w:r>
      <w:r w:rsidRPr="00716DF3">
        <w:rPr>
          <w:rFonts w:ascii="Times New Roman" w:hAnsi="Times New Roman"/>
          <w:sz w:val="24"/>
          <w:szCs w:val="24"/>
          <w:lang w:val="nn-NO"/>
        </w:rPr>
        <w:t xml:space="preserve">.  </w:t>
      </w:r>
    </w:p>
    <w:p w14:paraId="0C97305B" w14:textId="77777777" w:rsidR="000C5354" w:rsidRPr="00C8523B" w:rsidRDefault="006200B3" w:rsidP="006200B3">
      <w:pPr>
        <w:rPr>
          <w:rFonts w:ascii="Times New Roman" w:hAnsi="Times New Roman"/>
          <w:sz w:val="24"/>
          <w:szCs w:val="24"/>
          <w:lang w:val="nn-NO"/>
        </w:rPr>
      </w:pPr>
      <w:r w:rsidRPr="000F3BB2">
        <w:rPr>
          <w:rFonts w:ascii="Times New Roman" w:hAnsi="Times New Roman"/>
          <w:sz w:val="24"/>
          <w:szCs w:val="24"/>
          <w:lang w:val="nn-NO"/>
        </w:rPr>
        <w:t>Fokus på helsefr</w:t>
      </w:r>
      <w:r w:rsidR="000F3BB2" w:rsidRPr="000F3BB2">
        <w:rPr>
          <w:rFonts w:ascii="Times New Roman" w:hAnsi="Times New Roman"/>
          <w:sz w:val="24"/>
          <w:szCs w:val="24"/>
          <w:lang w:val="nn-NO"/>
        </w:rPr>
        <w:t>emja</w:t>
      </w:r>
      <w:r w:rsidRPr="000F3BB2">
        <w:rPr>
          <w:rFonts w:ascii="Times New Roman" w:hAnsi="Times New Roman"/>
          <w:sz w:val="24"/>
          <w:szCs w:val="24"/>
          <w:lang w:val="nn-NO"/>
        </w:rPr>
        <w:t>nde og f</w:t>
      </w:r>
      <w:r w:rsidR="000F3BB2" w:rsidRPr="000F3BB2">
        <w:rPr>
          <w:rFonts w:ascii="Times New Roman" w:hAnsi="Times New Roman"/>
          <w:sz w:val="24"/>
          <w:szCs w:val="24"/>
          <w:lang w:val="nn-NO"/>
        </w:rPr>
        <w:t>ørebyggjande</w:t>
      </w:r>
      <w:r w:rsidRPr="000F3BB2">
        <w:rPr>
          <w:rFonts w:ascii="Times New Roman" w:hAnsi="Times New Roman"/>
          <w:sz w:val="24"/>
          <w:szCs w:val="24"/>
          <w:lang w:val="nn-NO"/>
        </w:rPr>
        <w:t xml:space="preserve"> arbeid og rehabilitering var praktisk talt ikk</w:t>
      </w:r>
      <w:r w:rsidR="000F3BB2" w:rsidRPr="000F3BB2">
        <w:rPr>
          <w:rFonts w:ascii="Times New Roman" w:hAnsi="Times New Roman"/>
          <w:sz w:val="24"/>
          <w:szCs w:val="24"/>
          <w:lang w:val="nn-NO"/>
        </w:rPr>
        <w:t>j</w:t>
      </w:r>
      <w:r w:rsidRPr="000F3BB2">
        <w:rPr>
          <w:rFonts w:ascii="Times New Roman" w:hAnsi="Times New Roman"/>
          <w:sz w:val="24"/>
          <w:szCs w:val="24"/>
          <w:lang w:val="nn-NO"/>
        </w:rPr>
        <w:t xml:space="preserve">e tema. </w:t>
      </w:r>
      <w:r w:rsidR="00E73857" w:rsidRPr="00E73857">
        <w:rPr>
          <w:rFonts w:ascii="Times New Roman" w:hAnsi="Times New Roman"/>
          <w:sz w:val="24"/>
          <w:szCs w:val="24"/>
          <w:lang w:val="nn-NO"/>
        </w:rPr>
        <w:t>Avtroppande r</w:t>
      </w:r>
      <w:r w:rsidR="00E73857">
        <w:rPr>
          <w:rFonts w:ascii="Times New Roman" w:hAnsi="Times New Roman"/>
          <w:sz w:val="24"/>
          <w:szCs w:val="24"/>
          <w:lang w:val="nn-NO"/>
        </w:rPr>
        <w:t>egjering</w:t>
      </w:r>
      <w:r w:rsidR="00C8523B" w:rsidRPr="00C8523B">
        <w:rPr>
          <w:rFonts w:ascii="Times New Roman" w:hAnsi="Times New Roman"/>
          <w:sz w:val="24"/>
          <w:szCs w:val="24"/>
          <w:lang w:val="nn-NO"/>
        </w:rPr>
        <w:t xml:space="preserve"> tilrådde 5,6 % vekst i spesialisthelsetenesta i 2014 budsjettet. </w:t>
      </w:r>
      <w:r w:rsidR="00C8523B" w:rsidRPr="000C5354">
        <w:rPr>
          <w:rFonts w:ascii="Times New Roman" w:hAnsi="Times New Roman"/>
          <w:sz w:val="24"/>
          <w:szCs w:val="24"/>
          <w:lang w:val="nn-NO"/>
        </w:rPr>
        <w:t>Sol</w:t>
      </w:r>
      <w:r w:rsidR="00E73857">
        <w:rPr>
          <w:rFonts w:ascii="Times New Roman" w:hAnsi="Times New Roman"/>
          <w:sz w:val="24"/>
          <w:szCs w:val="24"/>
          <w:lang w:val="nn-NO"/>
        </w:rPr>
        <w:t>berg</w:t>
      </w:r>
      <w:r w:rsidR="008A52B9">
        <w:rPr>
          <w:rFonts w:ascii="Times New Roman" w:hAnsi="Times New Roman"/>
          <w:sz w:val="24"/>
          <w:szCs w:val="24"/>
          <w:lang w:val="nn-NO"/>
        </w:rPr>
        <w:t xml:space="preserve"> </w:t>
      </w:r>
      <w:r w:rsidR="000F3BB2">
        <w:rPr>
          <w:rFonts w:ascii="Times New Roman" w:hAnsi="Times New Roman"/>
          <w:sz w:val="24"/>
          <w:szCs w:val="24"/>
          <w:lang w:val="nn-NO"/>
        </w:rPr>
        <w:t>regjeringa auka ve</w:t>
      </w:r>
      <w:r w:rsidR="00E73857">
        <w:rPr>
          <w:rFonts w:ascii="Times New Roman" w:hAnsi="Times New Roman"/>
          <w:sz w:val="24"/>
          <w:szCs w:val="24"/>
          <w:lang w:val="nn-NO"/>
        </w:rPr>
        <w:t xml:space="preserve">ksten i spesialisthelsetenesta </w:t>
      </w:r>
      <w:r w:rsidR="000F3BB2">
        <w:rPr>
          <w:rFonts w:ascii="Times New Roman" w:hAnsi="Times New Roman"/>
          <w:sz w:val="24"/>
          <w:szCs w:val="24"/>
          <w:lang w:val="nn-NO"/>
        </w:rPr>
        <w:t xml:space="preserve">ytterlegare </w:t>
      </w:r>
      <w:r w:rsidR="00C8523B" w:rsidRPr="000C5354">
        <w:rPr>
          <w:rFonts w:ascii="Times New Roman" w:hAnsi="Times New Roman"/>
          <w:sz w:val="24"/>
          <w:szCs w:val="24"/>
          <w:lang w:val="nn-NO"/>
        </w:rPr>
        <w:t>frå 5,6 % til 6 %.</w:t>
      </w:r>
    </w:p>
    <w:p w14:paraId="1F26BC7F" w14:textId="77777777" w:rsidR="00C8523B" w:rsidRPr="000F3BB2" w:rsidRDefault="006200B3" w:rsidP="006200B3">
      <w:pPr>
        <w:rPr>
          <w:rFonts w:ascii="Times New Roman" w:hAnsi="Times New Roman"/>
          <w:sz w:val="24"/>
          <w:szCs w:val="24"/>
          <w:lang w:val="nn-NO"/>
        </w:rPr>
      </w:pPr>
      <w:r w:rsidRPr="000F3BB2">
        <w:rPr>
          <w:rFonts w:ascii="Times New Roman" w:hAnsi="Times New Roman"/>
          <w:sz w:val="24"/>
          <w:szCs w:val="24"/>
          <w:lang w:val="nn-NO"/>
        </w:rPr>
        <w:t>Når statsbudsje</w:t>
      </w:r>
      <w:r w:rsidR="000C5354" w:rsidRPr="000F3BB2">
        <w:rPr>
          <w:rFonts w:ascii="Times New Roman" w:hAnsi="Times New Roman"/>
          <w:sz w:val="24"/>
          <w:szCs w:val="24"/>
          <w:lang w:val="nn-NO"/>
        </w:rPr>
        <w:t xml:space="preserve">ttet for 2014 var vedtatt, </w:t>
      </w:r>
      <w:r w:rsidR="000F3BB2" w:rsidRPr="000F3BB2">
        <w:rPr>
          <w:rFonts w:ascii="Times New Roman" w:hAnsi="Times New Roman"/>
          <w:sz w:val="24"/>
          <w:szCs w:val="24"/>
          <w:lang w:val="nn-NO"/>
        </w:rPr>
        <w:t>poengterte statsråd Høie på «P</w:t>
      </w:r>
      <w:r w:rsidRPr="000F3BB2">
        <w:rPr>
          <w:rFonts w:ascii="Times New Roman" w:hAnsi="Times New Roman"/>
          <w:sz w:val="24"/>
          <w:szCs w:val="24"/>
          <w:lang w:val="nn-NO"/>
        </w:rPr>
        <w:t>olitisk kvarter</w:t>
      </w:r>
      <w:r w:rsidR="000F3BB2" w:rsidRPr="000F3BB2">
        <w:rPr>
          <w:rFonts w:ascii="Times New Roman" w:hAnsi="Times New Roman"/>
          <w:sz w:val="24"/>
          <w:szCs w:val="24"/>
          <w:lang w:val="nn-NO"/>
        </w:rPr>
        <w:t>»</w:t>
      </w:r>
      <w:r w:rsidRPr="000F3BB2">
        <w:rPr>
          <w:rFonts w:ascii="Times New Roman" w:hAnsi="Times New Roman"/>
          <w:sz w:val="24"/>
          <w:szCs w:val="24"/>
          <w:lang w:val="nn-NO"/>
        </w:rPr>
        <w:t xml:space="preserve"> at ve</w:t>
      </w:r>
      <w:r w:rsidR="003F559F" w:rsidRPr="000F3BB2">
        <w:rPr>
          <w:rFonts w:ascii="Times New Roman" w:hAnsi="Times New Roman"/>
          <w:sz w:val="24"/>
          <w:szCs w:val="24"/>
          <w:lang w:val="nn-NO"/>
        </w:rPr>
        <w:t>ksten i spesialisthelsetenesta</w:t>
      </w:r>
      <w:r w:rsidRPr="000F3BB2">
        <w:rPr>
          <w:rFonts w:ascii="Times New Roman" w:hAnsi="Times New Roman"/>
          <w:sz w:val="24"/>
          <w:szCs w:val="24"/>
          <w:lang w:val="nn-NO"/>
        </w:rPr>
        <w:t xml:space="preserve"> «aldri hadde vært så stor som i 2014.»</w:t>
      </w:r>
      <w:r w:rsidR="000C5354" w:rsidRPr="000F3BB2">
        <w:rPr>
          <w:rFonts w:ascii="Times New Roman" w:hAnsi="Times New Roman"/>
          <w:sz w:val="24"/>
          <w:szCs w:val="24"/>
          <w:lang w:val="nn-NO"/>
        </w:rPr>
        <w:t xml:space="preserve"> </w:t>
      </w:r>
    </w:p>
    <w:p w14:paraId="2C1A18C6" w14:textId="6F615030" w:rsidR="00C8523B" w:rsidRDefault="00C8523B" w:rsidP="006200B3">
      <w:pPr>
        <w:rPr>
          <w:rFonts w:ascii="Times New Roman" w:hAnsi="Times New Roman"/>
          <w:sz w:val="24"/>
          <w:szCs w:val="24"/>
          <w:lang w:val="nn-NO"/>
        </w:rPr>
      </w:pPr>
      <w:r>
        <w:rPr>
          <w:rFonts w:ascii="Times New Roman" w:hAnsi="Times New Roman"/>
          <w:sz w:val="24"/>
          <w:szCs w:val="24"/>
          <w:lang w:val="nn-NO"/>
        </w:rPr>
        <w:t xml:space="preserve">Når statsbudsjettet for </w:t>
      </w:r>
      <w:r w:rsidRPr="00C8523B">
        <w:rPr>
          <w:rFonts w:ascii="Times New Roman" w:hAnsi="Times New Roman"/>
          <w:sz w:val="24"/>
          <w:szCs w:val="24"/>
          <w:lang w:val="nn-NO"/>
        </w:rPr>
        <w:t xml:space="preserve">2015 </w:t>
      </w:r>
      <w:r w:rsidR="00E73857">
        <w:rPr>
          <w:rFonts w:ascii="Times New Roman" w:hAnsi="Times New Roman"/>
          <w:sz w:val="24"/>
          <w:szCs w:val="24"/>
          <w:lang w:val="nn-NO"/>
        </w:rPr>
        <w:t xml:space="preserve">var vedtatt </w:t>
      </w:r>
      <w:r w:rsidR="000F3BB2">
        <w:rPr>
          <w:rFonts w:ascii="Times New Roman" w:hAnsi="Times New Roman"/>
          <w:sz w:val="24"/>
          <w:szCs w:val="24"/>
          <w:lang w:val="nn-NO"/>
        </w:rPr>
        <w:t>uttala</w:t>
      </w:r>
      <w:r w:rsidR="00F51064">
        <w:rPr>
          <w:rFonts w:ascii="Times New Roman" w:hAnsi="Times New Roman"/>
          <w:sz w:val="24"/>
          <w:szCs w:val="24"/>
          <w:lang w:val="nn-NO"/>
        </w:rPr>
        <w:t xml:space="preserve"> statsråd Høie </w:t>
      </w:r>
      <w:r>
        <w:rPr>
          <w:rFonts w:ascii="Times New Roman" w:hAnsi="Times New Roman"/>
          <w:sz w:val="24"/>
          <w:szCs w:val="24"/>
          <w:lang w:val="nn-NO"/>
        </w:rPr>
        <w:t>seg om budsjettet</w:t>
      </w:r>
      <w:r w:rsidR="000F3BB2">
        <w:rPr>
          <w:rFonts w:ascii="Times New Roman" w:hAnsi="Times New Roman"/>
          <w:sz w:val="24"/>
          <w:szCs w:val="24"/>
          <w:lang w:val="nn-NO"/>
        </w:rPr>
        <w:t xml:space="preserve"> og h</w:t>
      </w:r>
      <w:r>
        <w:rPr>
          <w:rFonts w:ascii="Times New Roman" w:hAnsi="Times New Roman"/>
          <w:sz w:val="24"/>
          <w:szCs w:val="24"/>
          <w:lang w:val="nn-NO"/>
        </w:rPr>
        <w:t xml:space="preserve">ans kommentar var </w:t>
      </w:r>
      <w:r w:rsidR="000F3BB2">
        <w:rPr>
          <w:rFonts w:ascii="Times New Roman" w:hAnsi="Times New Roman"/>
          <w:sz w:val="24"/>
          <w:szCs w:val="24"/>
          <w:lang w:val="nn-NO"/>
        </w:rPr>
        <w:t>at</w:t>
      </w:r>
      <w:r>
        <w:rPr>
          <w:rFonts w:ascii="Times New Roman" w:hAnsi="Times New Roman"/>
          <w:sz w:val="24"/>
          <w:szCs w:val="24"/>
          <w:lang w:val="nn-NO"/>
        </w:rPr>
        <w:t xml:space="preserve"> dette var den nest beste budsjettveksten spesialisthelseten</w:t>
      </w:r>
      <w:r w:rsidR="003F559F">
        <w:rPr>
          <w:rFonts w:ascii="Times New Roman" w:hAnsi="Times New Roman"/>
          <w:sz w:val="24"/>
          <w:szCs w:val="24"/>
          <w:lang w:val="nn-NO"/>
        </w:rPr>
        <w:t>e</w:t>
      </w:r>
      <w:r>
        <w:rPr>
          <w:rFonts w:ascii="Times New Roman" w:hAnsi="Times New Roman"/>
          <w:sz w:val="24"/>
          <w:szCs w:val="24"/>
          <w:lang w:val="nn-NO"/>
        </w:rPr>
        <w:t xml:space="preserve">sta hadde fått nokon gong. </w:t>
      </w:r>
      <w:r w:rsidR="000F3BB2">
        <w:rPr>
          <w:rFonts w:ascii="Times New Roman" w:hAnsi="Times New Roman"/>
          <w:sz w:val="24"/>
          <w:szCs w:val="24"/>
          <w:lang w:val="nn-NO"/>
        </w:rPr>
        <w:t>Samstundes</w:t>
      </w:r>
      <w:r>
        <w:rPr>
          <w:rFonts w:ascii="Times New Roman" w:hAnsi="Times New Roman"/>
          <w:sz w:val="24"/>
          <w:szCs w:val="24"/>
          <w:lang w:val="nn-NO"/>
        </w:rPr>
        <w:t xml:space="preserve"> vart Høie </w:t>
      </w:r>
      <w:r w:rsidR="00E73857">
        <w:rPr>
          <w:rFonts w:ascii="Times New Roman" w:hAnsi="Times New Roman"/>
          <w:sz w:val="24"/>
          <w:szCs w:val="24"/>
          <w:lang w:val="nn-NO"/>
        </w:rPr>
        <w:t xml:space="preserve">kraftig </w:t>
      </w:r>
      <w:r>
        <w:rPr>
          <w:rFonts w:ascii="Times New Roman" w:hAnsi="Times New Roman"/>
          <w:sz w:val="24"/>
          <w:szCs w:val="24"/>
          <w:lang w:val="nn-NO"/>
        </w:rPr>
        <w:t xml:space="preserve">kritisert av helsepolitisk talsmann frå Ap for at veksten var for låg. I budsjettforslaget for 2016 frå regjeringa </w:t>
      </w:r>
      <w:r w:rsidR="003F559F">
        <w:rPr>
          <w:rFonts w:ascii="Times New Roman" w:hAnsi="Times New Roman"/>
          <w:sz w:val="24"/>
          <w:szCs w:val="24"/>
          <w:lang w:val="nn-NO"/>
        </w:rPr>
        <w:t>er det forslag om 6,8</w:t>
      </w:r>
      <w:r w:rsidR="00716DF3">
        <w:rPr>
          <w:rFonts w:ascii="Times New Roman" w:hAnsi="Times New Roman"/>
          <w:sz w:val="24"/>
          <w:szCs w:val="24"/>
          <w:lang w:val="nn-NO"/>
        </w:rPr>
        <w:t xml:space="preserve"> % vekst i spesialisthelsetenesta.</w:t>
      </w:r>
    </w:p>
    <w:p w14:paraId="00352618" w14:textId="77777777" w:rsidR="00E73857" w:rsidRPr="00716DF3" w:rsidRDefault="00E73857" w:rsidP="00E73857">
      <w:pPr>
        <w:rPr>
          <w:rFonts w:ascii="Times New Roman" w:hAnsi="Times New Roman"/>
          <w:sz w:val="24"/>
          <w:szCs w:val="24"/>
          <w:lang w:val="nn-NO"/>
        </w:rPr>
      </w:pPr>
    </w:p>
    <w:p w14:paraId="1203291C" w14:textId="77777777" w:rsidR="003F559F" w:rsidRDefault="00F255E5" w:rsidP="006200B3">
      <w:pPr>
        <w:rPr>
          <w:rFonts w:ascii="Times New Roman" w:hAnsi="Times New Roman"/>
          <w:sz w:val="24"/>
          <w:szCs w:val="24"/>
          <w:lang w:val="nn-NO"/>
        </w:rPr>
      </w:pPr>
      <w:r w:rsidRPr="00F255E5">
        <w:rPr>
          <w:rFonts w:ascii="Times New Roman" w:hAnsi="Times New Roman"/>
          <w:sz w:val="24"/>
          <w:szCs w:val="24"/>
          <w:lang w:val="nn-NO"/>
        </w:rPr>
        <w:lastRenderedPageBreak/>
        <w:t>M</w:t>
      </w:r>
      <w:r w:rsidR="006200B3" w:rsidRPr="00F255E5">
        <w:rPr>
          <w:rFonts w:ascii="Times New Roman" w:hAnsi="Times New Roman"/>
          <w:sz w:val="24"/>
          <w:szCs w:val="24"/>
          <w:lang w:val="nn-NO"/>
        </w:rPr>
        <w:t>ed bakgrunn i at e</w:t>
      </w:r>
      <w:r>
        <w:rPr>
          <w:rFonts w:ascii="Times New Roman" w:hAnsi="Times New Roman"/>
          <w:sz w:val="24"/>
          <w:szCs w:val="24"/>
          <w:lang w:val="nn-NO"/>
        </w:rPr>
        <w:t xml:space="preserve">it samrøystes Storting har uttrykt semje om at </w:t>
      </w:r>
      <w:r w:rsidR="000F3BB2">
        <w:rPr>
          <w:rFonts w:ascii="Times New Roman" w:hAnsi="Times New Roman"/>
          <w:sz w:val="24"/>
          <w:szCs w:val="24"/>
          <w:lang w:val="nn-NO"/>
        </w:rPr>
        <w:t>målet var</w:t>
      </w:r>
      <w:r w:rsidR="006200B3" w:rsidRPr="00F255E5">
        <w:rPr>
          <w:rFonts w:ascii="Times New Roman" w:hAnsi="Times New Roman"/>
          <w:sz w:val="24"/>
          <w:szCs w:val="24"/>
          <w:lang w:val="nn-NO"/>
        </w:rPr>
        <w:t xml:space="preserve"> å «</w:t>
      </w:r>
      <w:proofErr w:type="spellStart"/>
      <w:r w:rsidR="006200B3" w:rsidRPr="00F255E5">
        <w:rPr>
          <w:rFonts w:ascii="Times New Roman" w:hAnsi="Times New Roman"/>
          <w:sz w:val="24"/>
          <w:szCs w:val="24"/>
          <w:lang w:val="nn-NO"/>
        </w:rPr>
        <w:t>begrense</w:t>
      </w:r>
      <w:proofErr w:type="spellEnd"/>
      <w:r w:rsidR="006200B3" w:rsidRPr="00F255E5">
        <w:rPr>
          <w:rFonts w:ascii="Times New Roman" w:hAnsi="Times New Roman"/>
          <w:sz w:val="24"/>
          <w:szCs w:val="24"/>
          <w:lang w:val="nn-NO"/>
        </w:rPr>
        <w:t xml:space="preserve"> veksten i </w:t>
      </w:r>
      <w:proofErr w:type="spellStart"/>
      <w:r w:rsidR="006200B3" w:rsidRPr="00F255E5">
        <w:rPr>
          <w:rFonts w:ascii="Times New Roman" w:hAnsi="Times New Roman"/>
          <w:sz w:val="24"/>
          <w:szCs w:val="24"/>
          <w:lang w:val="nn-NO"/>
        </w:rPr>
        <w:t>spesialisthelsetjenesten</w:t>
      </w:r>
      <w:proofErr w:type="spellEnd"/>
      <w:r w:rsidR="006200B3" w:rsidRPr="00F255E5">
        <w:rPr>
          <w:rFonts w:ascii="Times New Roman" w:hAnsi="Times New Roman"/>
          <w:sz w:val="24"/>
          <w:szCs w:val="24"/>
          <w:lang w:val="nn-NO"/>
        </w:rPr>
        <w:t xml:space="preserve"> og styrke </w:t>
      </w:r>
      <w:r w:rsidR="000F3BB2">
        <w:rPr>
          <w:rFonts w:ascii="Times New Roman" w:hAnsi="Times New Roman"/>
          <w:sz w:val="24"/>
          <w:szCs w:val="24"/>
          <w:lang w:val="nn-NO"/>
        </w:rPr>
        <w:t xml:space="preserve">veksten i </w:t>
      </w:r>
      <w:proofErr w:type="spellStart"/>
      <w:r w:rsidR="000F3BB2">
        <w:rPr>
          <w:rFonts w:ascii="Times New Roman" w:hAnsi="Times New Roman"/>
          <w:sz w:val="24"/>
          <w:szCs w:val="24"/>
          <w:lang w:val="nn-NO"/>
        </w:rPr>
        <w:t>kommunehelsetjenesten</w:t>
      </w:r>
      <w:proofErr w:type="spellEnd"/>
      <w:r w:rsidR="006200B3" w:rsidRPr="00F255E5">
        <w:rPr>
          <w:rFonts w:ascii="Times New Roman" w:hAnsi="Times New Roman"/>
          <w:sz w:val="24"/>
          <w:szCs w:val="24"/>
          <w:lang w:val="nn-NO"/>
        </w:rPr>
        <w:t xml:space="preserve">» </w:t>
      </w:r>
      <w:r w:rsidR="003F559F">
        <w:rPr>
          <w:rFonts w:ascii="Times New Roman" w:hAnsi="Times New Roman"/>
          <w:sz w:val="24"/>
          <w:szCs w:val="24"/>
          <w:lang w:val="nn-NO"/>
        </w:rPr>
        <w:t>er utviklinga</w:t>
      </w:r>
      <w:r>
        <w:rPr>
          <w:rFonts w:ascii="Times New Roman" w:hAnsi="Times New Roman"/>
          <w:sz w:val="24"/>
          <w:szCs w:val="24"/>
          <w:lang w:val="nn-NO"/>
        </w:rPr>
        <w:t xml:space="preserve"> overraskande.</w:t>
      </w:r>
      <w:r w:rsidR="008A52B9">
        <w:rPr>
          <w:rFonts w:ascii="Times New Roman" w:hAnsi="Times New Roman"/>
          <w:sz w:val="24"/>
          <w:szCs w:val="24"/>
          <w:lang w:val="nn-NO"/>
        </w:rPr>
        <w:t xml:space="preserve"> </w:t>
      </w:r>
    </w:p>
    <w:p w14:paraId="1E4CC81B" w14:textId="77777777" w:rsidR="000F3BB2" w:rsidRPr="000F3BB2" w:rsidRDefault="008A52B9" w:rsidP="000F3BB2">
      <w:pPr>
        <w:rPr>
          <w:rFonts w:ascii="Times New Roman" w:hAnsi="Times New Roman"/>
          <w:sz w:val="24"/>
          <w:szCs w:val="24"/>
          <w:lang w:val="nn-NO"/>
        </w:rPr>
      </w:pPr>
      <w:r w:rsidRPr="000F3BB2">
        <w:rPr>
          <w:rFonts w:ascii="Times New Roman" w:hAnsi="Times New Roman"/>
          <w:sz w:val="24"/>
          <w:szCs w:val="24"/>
          <w:lang w:val="nn-NO"/>
        </w:rPr>
        <w:t xml:space="preserve">Den politiske diskusjonen </w:t>
      </w:r>
      <w:r w:rsidR="004449FA" w:rsidRPr="000F3BB2">
        <w:rPr>
          <w:rFonts w:ascii="Times New Roman" w:hAnsi="Times New Roman"/>
          <w:sz w:val="24"/>
          <w:szCs w:val="24"/>
          <w:lang w:val="nn-NO"/>
        </w:rPr>
        <w:t xml:space="preserve">på sentralt nivå </w:t>
      </w:r>
      <w:r w:rsidRPr="000F3BB2">
        <w:rPr>
          <w:rFonts w:ascii="Times New Roman" w:hAnsi="Times New Roman"/>
          <w:sz w:val="24"/>
          <w:szCs w:val="24"/>
          <w:lang w:val="nn-NO"/>
        </w:rPr>
        <w:t xml:space="preserve">har konsekvent handla om </w:t>
      </w:r>
      <w:r w:rsidR="004C7FCC" w:rsidRPr="000F3BB2">
        <w:rPr>
          <w:rFonts w:ascii="Times New Roman" w:hAnsi="Times New Roman"/>
          <w:sz w:val="24"/>
          <w:szCs w:val="24"/>
          <w:lang w:val="nn-NO"/>
        </w:rPr>
        <w:t xml:space="preserve">ein konkurranse der vinnaren er partiet </w:t>
      </w:r>
      <w:r w:rsidR="003F559F" w:rsidRPr="000F3BB2">
        <w:rPr>
          <w:rFonts w:ascii="Times New Roman" w:hAnsi="Times New Roman"/>
          <w:sz w:val="24"/>
          <w:szCs w:val="24"/>
          <w:lang w:val="nn-NO"/>
        </w:rPr>
        <w:t>som løyver mest midlar</w:t>
      </w:r>
      <w:r w:rsidRPr="000F3BB2">
        <w:rPr>
          <w:rFonts w:ascii="Times New Roman" w:hAnsi="Times New Roman"/>
          <w:sz w:val="24"/>
          <w:szCs w:val="24"/>
          <w:lang w:val="nn-NO"/>
        </w:rPr>
        <w:t xml:space="preserve"> </w:t>
      </w:r>
      <w:r w:rsidR="0004451D" w:rsidRPr="000F3BB2">
        <w:rPr>
          <w:rFonts w:ascii="Times New Roman" w:hAnsi="Times New Roman"/>
          <w:sz w:val="24"/>
          <w:szCs w:val="24"/>
          <w:lang w:val="nn-NO"/>
        </w:rPr>
        <w:t xml:space="preserve">til </w:t>
      </w:r>
      <w:r w:rsidRPr="000F3BB2">
        <w:rPr>
          <w:rFonts w:ascii="Times New Roman" w:hAnsi="Times New Roman"/>
          <w:sz w:val="24"/>
          <w:szCs w:val="24"/>
          <w:lang w:val="nn-NO"/>
        </w:rPr>
        <w:t>spesialisthelsetenesta.</w:t>
      </w:r>
      <w:r w:rsidR="00716DF3" w:rsidRPr="000F3BB2">
        <w:rPr>
          <w:rFonts w:ascii="Times New Roman" w:hAnsi="Times New Roman"/>
          <w:sz w:val="24"/>
          <w:szCs w:val="24"/>
          <w:lang w:val="nn-NO"/>
        </w:rPr>
        <w:t xml:space="preserve"> Fokus på å vri ressur</w:t>
      </w:r>
      <w:r w:rsidR="003F559F" w:rsidRPr="000F3BB2">
        <w:rPr>
          <w:rFonts w:ascii="Times New Roman" w:hAnsi="Times New Roman"/>
          <w:sz w:val="24"/>
          <w:szCs w:val="24"/>
          <w:lang w:val="nn-NO"/>
        </w:rPr>
        <w:t>s</w:t>
      </w:r>
      <w:r w:rsidR="00716DF3" w:rsidRPr="000F3BB2">
        <w:rPr>
          <w:rFonts w:ascii="Times New Roman" w:hAnsi="Times New Roman"/>
          <w:sz w:val="24"/>
          <w:szCs w:val="24"/>
          <w:lang w:val="nn-NO"/>
        </w:rPr>
        <w:t>bruken frå spesialisthels</w:t>
      </w:r>
      <w:r w:rsidR="003F559F" w:rsidRPr="000F3BB2">
        <w:rPr>
          <w:rFonts w:ascii="Times New Roman" w:hAnsi="Times New Roman"/>
          <w:sz w:val="24"/>
          <w:szCs w:val="24"/>
          <w:lang w:val="nn-NO"/>
        </w:rPr>
        <w:t>e</w:t>
      </w:r>
      <w:r w:rsidR="00716DF3" w:rsidRPr="000F3BB2">
        <w:rPr>
          <w:rFonts w:ascii="Times New Roman" w:hAnsi="Times New Roman"/>
          <w:sz w:val="24"/>
          <w:szCs w:val="24"/>
          <w:lang w:val="nn-NO"/>
        </w:rPr>
        <w:t>tenesta til kommunan</w:t>
      </w:r>
      <w:r w:rsidR="004C7FCC" w:rsidRPr="000F3BB2">
        <w:rPr>
          <w:rFonts w:ascii="Times New Roman" w:hAnsi="Times New Roman"/>
          <w:sz w:val="24"/>
          <w:szCs w:val="24"/>
          <w:lang w:val="nn-NO"/>
        </w:rPr>
        <w:t xml:space="preserve">e har hatt </w:t>
      </w:r>
      <w:r w:rsidR="000F3BB2">
        <w:rPr>
          <w:rFonts w:ascii="Times New Roman" w:hAnsi="Times New Roman"/>
          <w:sz w:val="24"/>
          <w:szCs w:val="24"/>
          <w:lang w:val="nn-NO"/>
        </w:rPr>
        <w:t xml:space="preserve">for </w:t>
      </w:r>
      <w:r w:rsidR="004C7FCC" w:rsidRPr="000F3BB2">
        <w:rPr>
          <w:rFonts w:ascii="Times New Roman" w:hAnsi="Times New Roman"/>
          <w:sz w:val="24"/>
          <w:szCs w:val="24"/>
          <w:lang w:val="nn-NO"/>
        </w:rPr>
        <w:t xml:space="preserve">få talsmenn. </w:t>
      </w:r>
    </w:p>
    <w:p w14:paraId="02A566BF" w14:textId="77777777" w:rsidR="000F3BB2" w:rsidRDefault="000F3BB2" w:rsidP="000F3BB2">
      <w:pPr>
        <w:rPr>
          <w:rFonts w:ascii="Times New Roman" w:hAnsi="Times New Roman"/>
          <w:b/>
          <w:sz w:val="24"/>
          <w:szCs w:val="24"/>
          <w:lang w:val="nn-NO"/>
        </w:rPr>
      </w:pPr>
    </w:p>
    <w:p w14:paraId="1E635626" w14:textId="77777777" w:rsidR="00F255E5" w:rsidRPr="000F3BB2" w:rsidRDefault="00CC7730" w:rsidP="000F3BB2">
      <w:pPr>
        <w:rPr>
          <w:rFonts w:ascii="Times New Roman" w:hAnsi="Times New Roman"/>
          <w:b/>
          <w:sz w:val="28"/>
          <w:szCs w:val="28"/>
          <w:lang w:val="nn-NO"/>
        </w:rPr>
      </w:pPr>
      <w:r w:rsidRPr="000F3BB2">
        <w:rPr>
          <w:rFonts w:ascii="Times New Roman" w:hAnsi="Times New Roman"/>
          <w:b/>
          <w:sz w:val="28"/>
          <w:szCs w:val="28"/>
          <w:lang w:val="nn-NO"/>
        </w:rPr>
        <w:t>«Den forventa veksten i helsetenesta skal primært skje i kommunane»</w:t>
      </w:r>
    </w:p>
    <w:p w14:paraId="63ECC273" w14:textId="77777777" w:rsidR="00CC7730" w:rsidRDefault="00CC7730" w:rsidP="006200B3">
      <w:pPr>
        <w:rPr>
          <w:rFonts w:ascii="Times New Roman" w:hAnsi="Times New Roman"/>
          <w:sz w:val="24"/>
          <w:szCs w:val="24"/>
          <w:lang w:val="nn-NO"/>
        </w:rPr>
      </w:pPr>
      <w:r>
        <w:rPr>
          <w:rFonts w:ascii="Times New Roman" w:hAnsi="Times New Roman"/>
          <w:sz w:val="24"/>
          <w:szCs w:val="24"/>
          <w:lang w:val="nn-NO"/>
        </w:rPr>
        <w:t>Om Stortingets føresetnader skal følgjast opp inneber dette at veksten i dei kommunale helse- og omsorgstenestene må vere klart høgare enn referert vekst i spesialisthelsetenesta.</w:t>
      </w:r>
    </w:p>
    <w:p w14:paraId="0CECB409" w14:textId="77777777" w:rsidR="00E95223" w:rsidRPr="00F94E42" w:rsidRDefault="00E95223" w:rsidP="006200B3">
      <w:pPr>
        <w:rPr>
          <w:rFonts w:ascii="Times New Roman" w:hAnsi="Times New Roman"/>
          <w:sz w:val="24"/>
          <w:szCs w:val="24"/>
          <w:lang w:val="nn-NO"/>
        </w:rPr>
      </w:pPr>
      <w:r w:rsidRPr="00E95223">
        <w:rPr>
          <w:rFonts w:ascii="Times New Roman" w:hAnsi="Times New Roman"/>
          <w:b/>
          <w:sz w:val="24"/>
          <w:szCs w:val="24"/>
          <w:lang w:val="nn-NO"/>
        </w:rPr>
        <w:t xml:space="preserve">Tab. 2.1 Budsjettert vekst i kommunanes </w:t>
      </w:r>
      <w:r>
        <w:rPr>
          <w:rFonts w:ascii="Times New Roman" w:hAnsi="Times New Roman"/>
          <w:b/>
          <w:sz w:val="24"/>
          <w:szCs w:val="24"/>
          <w:lang w:val="nn-NO"/>
        </w:rPr>
        <w:t xml:space="preserve">totale </w:t>
      </w:r>
      <w:r w:rsidRPr="00E95223">
        <w:rPr>
          <w:rFonts w:ascii="Times New Roman" w:hAnsi="Times New Roman"/>
          <w:b/>
          <w:sz w:val="24"/>
          <w:szCs w:val="24"/>
          <w:lang w:val="nn-NO"/>
        </w:rPr>
        <w:t>inntekter 2012 – 2016</w:t>
      </w:r>
      <w:r w:rsidR="00F94E42">
        <w:rPr>
          <w:rFonts w:ascii="Times New Roman" w:hAnsi="Times New Roman"/>
          <w:b/>
          <w:sz w:val="24"/>
          <w:szCs w:val="24"/>
          <w:lang w:val="nn-NO"/>
        </w:rPr>
        <w:t xml:space="preserve"> (</w:t>
      </w:r>
      <w:r w:rsidR="00F94E42" w:rsidRPr="00F94E42">
        <w:rPr>
          <w:rFonts w:ascii="Times New Roman" w:hAnsi="Times New Roman"/>
          <w:sz w:val="24"/>
          <w:szCs w:val="24"/>
          <w:lang w:val="nn-NO"/>
        </w:rPr>
        <w:t xml:space="preserve">Kjelde </w:t>
      </w:r>
      <w:proofErr w:type="spellStart"/>
      <w:r w:rsidR="00F94E42">
        <w:rPr>
          <w:rFonts w:ascii="Times New Roman" w:hAnsi="Times New Roman"/>
          <w:sz w:val="24"/>
          <w:szCs w:val="24"/>
          <w:lang w:val="nn-NO"/>
        </w:rPr>
        <w:t>Prop</w:t>
      </w:r>
      <w:proofErr w:type="spellEnd"/>
      <w:r w:rsidR="00F94E42">
        <w:rPr>
          <w:rFonts w:ascii="Times New Roman" w:hAnsi="Times New Roman"/>
          <w:sz w:val="24"/>
          <w:szCs w:val="24"/>
          <w:lang w:val="nn-NO"/>
        </w:rPr>
        <w:t xml:space="preserve"> 1 S peioden 2012 – 2016,  Kommunaldepartementet. .(Det økonomiske opplegget for kommunane)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1559"/>
      </w:tblGrid>
      <w:tr w:rsidR="00E95223" w14:paraId="0359DDE6" w14:textId="77777777" w:rsidTr="00E95223">
        <w:tc>
          <w:tcPr>
            <w:tcW w:w="1555" w:type="dxa"/>
          </w:tcPr>
          <w:p w14:paraId="6FC37337" w14:textId="77777777" w:rsidR="00E95223" w:rsidRDefault="00E95223" w:rsidP="00E95223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År</w:t>
            </w:r>
          </w:p>
        </w:tc>
        <w:tc>
          <w:tcPr>
            <w:tcW w:w="3260" w:type="dxa"/>
          </w:tcPr>
          <w:p w14:paraId="3827FCCB" w14:textId="0F937969" w:rsidR="00E95223" w:rsidRDefault="002247C4" w:rsidP="00E95223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 xml:space="preserve">Kommunanes vekst, totale </w:t>
            </w:r>
            <w:bookmarkStart w:id="0" w:name="_GoBack"/>
            <w:bookmarkEnd w:id="0"/>
            <w:r w:rsidR="00E952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inntekter </w:t>
            </w:r>
            <w:r w:rsidR="0004451D">
              <w:rPr>
                <w:rFonts w:ascii="Times New Roman" w:hAnsi="Times New Roman"/>
                <w:sz w:val="24"/>
                <w:szCs w:val="24"/>
                <w:lang w:val="nn-NO"/>
              </w:rPr>
              <w:t>(</w:t>
            </w:r>
            <w:proofErr w:type="spellStart"/>
            <w:r w:rsidR="0004451D">
              <w:rPr>
                <w:rFonts w:ascii="Times New Roman" w:hAnsi="Times New Roman"/>
                <w:sz w:val="24"/>
                <w:szCs w:val="24"/>
                <w:lang w:val="nn-NO"/>
              </w:rPr>
              <w:t>Mrkr</w:t>
            </w:r>
            <w:proofErr w:type="spellEnd"/>
            <w:r w:rsidR="0004451D">
              <w:rPr>
                <w:rFonts w:ascii="Times New Roman" w:hAnsi="Times New Roman"/>
                <w:sz w:val="24"/>
                <w:szCs w:val="24"/>
                <w:lang w:val="nn-NO"/>
              </w:rPr>
              <w:t>)</w:t>
            </w:r>
          </w:p>
        </w:tc>
        <w:tc>
          <w:tcPr>
            <w:tcW w:w="1559" w:type="dxa"/>
          </w:tcPr>
          <w:p w14:paraId="7119BC4E" w14:textId="77777777" w:rsidR="00E95223" w:rsidRDefault="00E95223" w:rsidP="00E95223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Prosentvis auke</w:t>
            </w:r>
          </w:p>
        </w:tc>
      </w:tr>
      <w:tr w:rsidR="00E95223" w14:paraId="47478BD9" w14:textId="77777777" w:rsidTr="00E95223">
        <w:tc>
          <w:tcPr>
            <w:tcW w:w="1555" w:type="dxa"/>
          </w:tcPr>
          <w:p w14:paraId="29A260DA" w14:textId="77777777" w:rsidR="00E95223" w:rsidRDefault="00E95223" w:rsidP="00E95223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2012</w:t>
            </w:r>
          </w:p>
        </w:tc>
        <w:tc>
          <w:tcPr>
            <w:tcW w:w="3260" w:type="dxa"/>
          </w:tcPr>
          <w:p w14:paraId="556A49AF" w14:textId="77777777" w:rsidR="00E95223" w:rsidRDefault="00E95223" w:rsidP="00E95223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373,8</w:t>
            </w:r>
          </w:p>
        </w:tc>
        <w:tc>
          <w:tcPr>
            <w:tcW w:w="1559" w:type="dxa"/>
          </w:tcPr>
          <w:p w14:paraId="6999AB25" w14:textId="77777777" w:rsidR="00E95223" w:rsidRDefault="00E95223" w:rsidP="00E95223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4,4 %</w:t>
            </w:r>
          </w:p>
        </w:tc>
      </w:tr>
      <w:tr w:rsidR="00E95223" w14:paraId="22653DC0" w14:textId="77777777" w:rsidTr="00E95223">
        <w:tc>
          <w:tcPr>
            <w:tcW w:w="1555" w:type="dxa"/>
          </w:tcPr>
          <w:p w14:paraId="1ECCE2C5" w14:textId="77777777" w:rsidR="00E95223" w:rsidRDefault="00E95223" w:rsidP="00E95223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2013</w:t>
            </w:r>
          </w:p>
        </w:tc>
        <w:tc>
          <w:tcPr>
            <w:tcW w:w="3260" w:type="dxa"/>
          </w:tcPr>
          <w:p w14:paraId="3524585D" w14:textId="77777777" w:rsidR="00E95223" w:rsidRDefault="00E95223" w:rsidP="00E95223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400,7</w:t>
            </w:r>
          </w:p>
        </w:tc>
        <w:tc>
          <w:tcPr>
            <w:tcW w:w="1559" w:type="dxa"/>
          </w:tcPr>
          <w:p w14:paraId="4E5EB57C" w14:textId="77777777" w:rsidR="00E95223" w:rsidRDefault="00E95223" w:rsidP="00E95223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4,4 %</w:t>
            </w:r>
          </w:p>
        </w:tc>
      </w:tr>
      <w:tr w:rsidR="00E95223" w14:paraId="6B505F49" w14:textId="77777777" w:rsidTr="00E95223">
        <w:tc>
          <w:tcPr>
            <w:tcW w:w="1555" w:type="dxa"/>
          </w:tcPr>
          <w:p w14:paraId="20FEB137" w14:textId="77777777" w:rsidR="00E95223" w:rsidRDefault="00E95223" w:rsidP="00E95223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2014</w:t>
            </w:r>
          </w:p>
        </w:tc>
        <w:tc>
          <w:tcPr>
            <w:tcW w:w="3260" w:type="dxa"/>
          </w:tcPr>
          <w:p w14:paraId="65E142E0" w14:textId="77777777" w:rsidR="00E95223" w:rsidRDefault="00E95223" w:rsidP="00E95223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421,8</w:t>
            </w:r>
          </w:p>
        </w:tc>
        <w:tc>
          <w:tcPr>
            <w:tcW w:w="1559" w:type="dxa"/>
          </w:tcPr>
          <w:p w14:paraId="0DCF788D" w14:textId="77777777" w:rsidR="00E95223" w:rsidRDefault="00E95223" w:rsidP="00E95223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4,5 %</w:t>
            </w:r>
          </w:p>
        </w:tc>
      </w:tr>
      <w:tr w:rsidR="00E95223" w14:paraId="1C68E4D4" w14:textId="77777777" w:rsidTr="00E95223">
        <w:tc>
          <w:tcPr>
            <w:tcW w:w="1555" w:type="dxa"/>
          </w:tcPr>
          <w:p w14:paraId="056457DA" w14:textId="77777777" w:rsidR="00E95223" w:rsidRDefault="00E95223" w:rsidP="00E95223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2015</w:t>
            </w:r>
          </w:p>
        </w:tc>
        <w:tc>
          <w:tcPr>
            <w:tcW w:w="3260" w:type="dxa"/>
          </w:tcPr>
          <w:p w14:paraId="758B020F" w14:textId="77777777" w:rsidR="00E95223" w:rsidRDefault="00E95223" w:rsidP="00E95223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435,2</w:t>
            </w:r>
          </w:p>
        </w:tc>
        <w:tc>
          <w:tcPr>
            <w:tcW w:w="1559" w:type="dxa"/>
          </w:tcPr>
          <w:p w14:paraId="70DAFEAB" w14:textId="77777777" w:rsidR="00E95223" w:rsidRDefault="00E95223" w:rsidP="00E95223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4,8 %</w:t>
            </w:r>
          </w:p>
        </w:tc>
      </w:tr>
      <w:tr w:rsidR="00E95223" w14:paraId="4144FA19" w14:textId="77777777" w:rsidTr="00E95223">
        <w:tc>
          <w:tcPr>
            <w:tcW w:w="1555" w:type="dxa"/>
          </w:tcPr>
          <w:p w14:paraId="7F1F527B" w14:textId="77777777" w:rsidR="00E95223" w:rsidRDefault="00E95223" w:rsidP="00E95223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2016</w:t>
            </w:r>
          </w:p>
        </w:tc>
        <w:tc>
          <w:tcPr>
            <w:tcW w:w="3260" w:type="dxa"/>
          </w:tcPr>
          <w:p w14:paraId="6FAC4519" w14:textId="77777777" w:rsidR="00E95223" w:rsidRDefault="00E95223" w:rsidP="00E95223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462,7</w:t>
            </w:r>
          </w:p>
        </w:tc>
        <w:tc>
          <w:tcPr>
            <w:tcW w:w="1559" w:type="dxa"/>
          </w:tcPr>
          <w:p w14:paraId="3EE3B935" w14:textId="77777777" w:rsidR="00E95223" w:rsidRDefault="00E95223" w:rsidP="00E95223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4,4 %</w:t>
            </w:r>
          </w:p>
        </w:tc>
      </w:tr>
    </w:tbl>
    <w:p w14:paraId="0E3B74BD" w14:textId="77777777" w:rsidR="00E95223" w:rsidRDefault="00E95223" w:rsidP="006200B3">
      <w:pPr>
        <w:rPr>
          <w:rFonts w:ascii="Times New Roman" w:hAnsi="Times New Roman"/>
          <w:sz w:val="24"/>
          <w:szCs w:val="24"/>
          <w:lang w:val="nn-NO"/>
        </w:rPr>
      </w:pPr>
    </w:p>
    <w:p w14:paraId="19FA4078" w14:textId="77777777" w:rsidR="000F3BB2" w:rsidRDefault="000F3BB2" w:rsidP="006200B3">
      <w:pPr>
        <w:rPr>
          <w:rFonts w:ascii="Times New Roman" w:hAnsi="Times New Roman"/>
          <w:b/>
          <w:sz w:val="24"/>
          <w:szCs w:val="24"/>
          <w:lang w:val="nn-NO"/>
        </w:rPr>
      </w:pPr>
    </w:p>
    <w:p w14:paraId="3087EBD9" w14:textId="77777777" w:rsidR="00E95223" w:rsidRPr="00F94E42" w:rsidRDefault="00F94E42" w:rsidP="006200B3">
      <w:pPr>
        <w:rPr>
          <w:rFonts w:ascii="Times New Roman" w:hAnsi="Times New Roman"/>
          <w:sz w:val="24"/>
          <w:szCs w:val="24"/>
          <w:lang w:val="nn-NO"/>
        </w:rPr>
      </w:pPr>
      <w:r>
        <w:rPr>
          <w:rFonts w:ascii="Times New Roman" w:hAnsi="Times New Roman"/>
          <w:b/>
          <w:sz w:val="24"/>
          <w:szCs w:val="24"/>
          <w:lang w:val="nn-NO"/>
        </w:rPr>
        <w:t>Tabell 2.2</w:t>
      </w:r>
      <w:r w:rsidR="00604DC1" w:rsidRPr="00EF32FB">
        <w:rPr>
          <w:rFonts w:ascii="Times New Roman" w:hAnsi="Times New Roman"/>
          <w:b/>
          <w:sz w:val="24"/>
          <w:szCs w:val="24"/>
          <w:lang w:val="nn-NO"/>
        </w:rPr>
        <w:t>: Budsjettert vekst</w:t>
      </w:r>
      <w:r w:rsidR="00C66A2B" w:rsidRPr="00EF32FB">
        <w:rPr>
          <w:rFonts w:ascii="Times New Roman" w:hAnsi="Times New Roman"/>
          <w:b/>
          <w:sz w:val="24"/>
          <w:szCs w:val="24"/>
          <w:lang w:val="nn-NO"/>
        </w:rPr>
        <w:t xml:space="preserve">, frie inntekter </w:t>
      </w:r>
      <w:r w:rsidR="00604DC1" w:rsidRPr="00EF32FB">
        <w:rPr>
          <w:rFonts w:ascii="Times New Roman" w:hAnsi="Times New Roman"/>
          <w:b/>
          <w:sz w:val="24"/>
          <w:szCs w:val="24"/>
          <w:lang w:val="nn-NO"/>
        </w:rPr>
        <w:t>til kommunesektoren</w:t>
      </w:r>
      <w:r w:rsidR="008D1C88" w:rsidRPr="00EF32FB">
        <w:rPr>
          <w:rFonts w:ascii="Times New Roman" w:hAnsi="Times New Roman"/>
          <w:b/>
          <w:sz w:val="24"/>
          <w:szCs w:val="24"/>
          <w:lang w:val="nn-NO"/>
        </w:rPr>
        <w:t>.</w:t>
      </w:r>
      <w:r>
        <w:rPr>
          <w:rFonts w:ascii="Times New Roman" w:hAnsi="Times New Roman"/>
          <w:b/>
          <w:sz w:val="24"/>
          <w:szCs w:val="24"/>
          <w:lang w:val="nn-NO"/>
        </w:rPr>
        <w:t xml:space="preserve"> (</w:t>
      </w:r>
      <w:r>
        <w:rPr>
          <w:rFonts w:ascii="Times New Roman" w:hAnsi="Times New Roman"/>
          <w:sz w:val="24"/>
          <w:szCs w:val="24"/>
          <w:lang w:val="nn-NO"/>
        </w:rPr>
        <w:t xml:space="preserve">Kjelde: </w:t>
      </w:r>
      <w:proofErr w:type="spellStart"/>
      <w:r>
        <w:rPr>
          <w:rFonts w:ascii="Times New Roman" w:hAnsi="Times New Roman"/>
          <w:sz w:val="24"/>
          <w:szCs w:val="24"/>
          <w:lang w:val="nn-NO"/>
        </w:rPr>
        <w:t>Prop</w:t>
      </w:r>
      <w:proofErr w:type="spellEnd"/>
      <w:r>
        <w:rPr>
          <w:rFonts w:ascii="Times New Roman" w:hAnsi="Times New Roman"/>
          <w:sz w:val="24"/>
          <w:szCs w:val="24"/>
          <w:lang w:val="nn-NO"/>
        </w:rPr>
        <w:t xml:space="preserve"> 1 S – Kommunaldepartementet, avgrensa til budsjettert vekst i dei frie inntektene til kommunane)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1559"/>
      </w:tblGrid>
      <w:tr w:rsidR="001532F0" w14:paraId="6EBA8D99" w14:textId="77777777" w:rsidTr="00CC0B32">
        <w:tc>
          <w:tcPr>
            <w:tcW w:w="1555" w:type="dxa"/>
          </w:tcPr>
          <w:p w14:paraId="696FBCC5" w14:textId="77777777" w:rsidR="001532F0" w:rsidRDefault="001532F0" w:rsidP="00CC0B32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År</w:t>
            </w:r>
          </w:p>
        </w:tc>
        <w:tc>
          <w:tcPr>
            <w:tcW w:w="3260" w:type="dxa"/>
          </w:tcPr>
          <w:p w14:paraId="7EA9C2B4" w14:textId="77777777" w:rsidR="001532F0" w:rsidRDefault="001532F0" w:rsidP="00CC0B32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 xml:space="preserve">Kommunanes vekst, frie inntekter </w:t>
            </w:r>
          </w:p>
        </w:tc>
        <w:tc>
          <w:tcPr>
            <w:tcW w:w="1559" w:type="dxa"/>
          </w:tcPr>
          <w:p w14:paraId="519F7E3B" w14:textId="77777777" w:rsidR="001532F0" w:rsidRDefault="001532F0" w:rsidP="00CC0B32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Prosentvis auke</w:t>
            </w:r>
          </w:p>
        </w:tc>
      </w:tr>
      <w:tr w:rsidR="001532F0" w14:paraId="5F878CCE" w14:textId="77777777" w:rsidTr="00CC0B32">
        <w:tc>
          <w:tcPr>
            <w:tcW w:w="1555" w:type="dxa"/>
          </w:tcPr>
          <w:p w14:paraId="05D72391" w14:textId="77777777" w:rsidR="001532F0" w:rsidRDefault="001532F0" w:rsidP="00CC0B32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2012</w:t>
            </w:r>
          </w:p>
        </w:tc>
        <w:tc>
          <w:tcPr>
            <w:tcW w:w="3260" w:type="dxa"/>
          </w:tcPr>
          <w:p w14:paraId="297C2441" w14:textId="77777777" w:rsidR="001532F0" w:rsidRDefault="00CC0B32" w:rsidP="00CC0B3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239 241</w:t>
            </w:r>
          </w:p>
        </w:tc>
        <w:tc>
          <w:tcPr>
            <w:tcW w:w="1559" w:type="dxa"/>
          </w:tcPr>
          <w:p w14:paraId="1A879C65" w14:textId="77777777" w:rsidR="001532F0" w:rsidRDefault="00F94E42" w:rsidP="00CC0B3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4,3 %</w:t>
            </w:r>
          </w:p>
        </w:tc>
      </w:tr>
      <w:tr w:rsidR="001532F0" w14:paraId="336F3713" w14:textId="77777777" w:rsidTr="00CC0B32">
        <w:tc>
          <w:tcPr>
            <w:tcW w:w="1555" w:type="dxa"/>
          </w:tcPr>
          <w:p w14:paraId="6E31AAED" w14:textId="77777777" w:rsidR="001532F0" w:rsidRDefault="001532F0" w:rsidP="00CC0B32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2013</w:t>
            </w:r>
          </w:p>
        </w:tc>
        <w:tc>
          <w:tcPr>
            <w:tcW w:w="3260" w:type="dxa"/>
          </w:tcPr>
          <w:p w14:paraId="02773C1D" w14:textId="77777777" w:rsidR="001532F0" w:rsidRDefault="00CC0B32" w:rsidP="00CC0B3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249</w:t>
            </w:r>
            <w:r w:rsidR="00C66A2B">
              <w:rPr>
                <w:rFonts w:ascii="Times New Roman" w:hAnsi="Times New Roman"/>
                <w:sz w:val="24"/>
                <w:szCs w:val="24"/>
                <w:lang w:val="nn-NO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nn-NO"/>
              </w:rPr>
              <w:t>095</w:t>
            </w:r>
            <w:r w:rsidR="00C66A2B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(251 739)</w:t>
            </w:r>
          </w:p>
        </w:tc>
        <w:tc>
          <w:tcPr>
            <w:tcW w:w="1559" w:type="dxa"/>
          </w:tcPr>
          <w:p w14:paraId="3349DB4F" w14:textId="77777777" w:rsidR="001532F0" w:rsidRDefault="00CC0B32" w:rsidP="00CC0B3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4,1 %</w:t>
            </w:r>
          </w:p>
        </w:tc>
      </w:tr>
      <w:tr w:rsidR="001532F0" w14:paraId="0E7CD1EB" w14:textId="77777777" w:rsidTr="00CC0B32">
        <w:tc>
          <w:tcPr>
            <w:tcW w:w="1555" w:type="dxa"/>
          </w:tcPr>
          <w:p w14:paraId="4CA0A86C" w14:textId="77777777" w:rsidR="001532F0" w:rsidRDefault="001532F0" w:rsidP="00CC0B32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2014</w:t>
            </w:r>
          </w:p>
        </w:tc>
        <w:tc>
          <w:tcPr>
            <w:tcW w:w="3260" w:type="dxa"/>
          </w:tcPr>
          <w:p w14:paraId="4A6A0CE1" w14:textId="77777777" w:rsidR="001532F0" w:rsidRDefault="00C66A2B" w:rsidP="00CC0B3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 xml:space="preserve">262 097 </w:t>
            </w:r>
            <w:r w:rsidR="006A48E9">
              <w:rPr>
                <w:rFonts w:ascii="Times New Roman" w:hAnsi="Times New Roman"/>
                <w:sz w:val="24"/>
                <w:szCs w:val="24"/>
                <w:lang w:val="nn-NO"/>
              </w:rPr>
              <w:t>(254 241)</w:t>
            </w:r>
          </w:p>
        </w:tc>
        <w:tc>
          <w:tcPr>
            <w:tcW w:w="1559" w:type="dxa"/>
          </w:tcPr>
          <w:p w14:paraId="617CDED1" w14:textId="77777777" w:rsidR="001532F0" w:rsidRDefault="00C66A2B" w:rsidP="00CC0B3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4,1 %</w:t>
            </w:r>
          </w:p>
        </w:tc>
      </w:tr>
      <w:tr w:rsidR="001532F0" w14:paraId="34631A74" w14:textId="77777777" w:rsidTr="00CC0B32">
        <w:tc>
          <w:tcPr>
            <w:tcW w:w="1555" w:type="dxa"/>
          </w:tcPr>
          <w:p w14:paraId="658DDD9D" w14:textId="77777777" w:rsidR="001532F0" w:rsidRDefault="001532F0" w:rsidP="00CC0B32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lastRenderedPageBreak/>
              <w:t>2015</w:t>
            </w:r>
          </w:p>
        </w:tc>
        <w:tc>
          <w:tcPr>
            <w:tcW w:w="3260" w:type="dxa"/>
          </w:tcPr>
          <w:p w14:paraId="0E7BC78D" w14:textId="77777777" w:rsidR="001532F0" w:rsidRDefault="001532F0" w:rsidP="00CC0B3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268</w:t>
            </w:r>
            <w:r w:rsidR="00CC0B32">
              <w:rPr>
                <w:rFonts w:ascii="Times New Roman" w:hAnsi="Times New Roman"/>
                <w:sz w:val="24"/>
                <w:szCs w:val="24"/>
                <w:lang w:val="nn-NO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nn-NO"/>
              </w:rPr>
              <w:t>069</w:t>
            </w:r>
            <w:r w:rsidR="00CC0B32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(266 531) </w:t>
            </w:r>
          </w:p>
        </w:tc>
        <w:tc>
          <w:tcPr>
            <w:tcW w:w="1559" w:type="dxa"/>
          </w:tcPr>
          <w:p w14:paraId="3DA314D6" w14:textId="77777777" w:rsidR="001532F0" w:rsidRDefault="00CC0B32" w:rsidP="00CC0B3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4,8 %</w:t>
            </w:r>
          </w:p>
        </w:tc>
      </w:tr>
      <w:tr w:rsidR="001532F0" w14:paraId="3565DC49" w14:textId="77777777" w:rsidTr="00CC0B32">
        <w:tc>
          <w:tcPr>
            <w:tcW w:w="1555" w:type="dxa"/>
          </w:tcPr>
          <w:p w14:paraId="58FA9D45" w14:textId="77777777" w:rsidR="001532F0" w:rsidRDefault="001532F0" w:rsidP="00CC0B32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2016</w:t>
            </w:r>
          </w:p>
        </w:tc>
        <w:tc>
          <w:tcPr>
            <w:tcW w:w="3260" w:type="dxa"/>
          </w:tcPr>
          <w:p w14:paraId="217044B3" w14:textId="77777777" w:rsidR="001532F0" w:rsidRDefault="001532F0" w:rsidP="00CC0B3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279 522</w:t>
            </w:r>
          </w:p>
        </w:tc>
        <w:tc>
          <w:tcPr>
            <w:tcW w:w="1559" w:type="dxa"/>
          </w:tcPr>
          <w:p w14:paraId="6B083854" w14:textId="77777777" w:rsidR="001532F0" w:rsidRDefault="001532F0" w:rsidP="00CC0B3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4,3 %</w:t>
            </w:r>
          </w:p>
        </w:tc>
      </w:tr>
    </w:tbl>
    <w:p w14:paraId="1FC0BA68" w14:textId="77777777" w:rsidR="001532F0" w:rsidRPr="000F3BB2" w:rsidRDefault="00C66A2B" w:rsidP="006200B3">
      <w:pPr>
        <w:rPr>
          <w:rFonts w:ascii="Times New Roman" w:hAnsi="Times New Roman"/>
          <w:sz w:val="24"/>
          <w:szCs w:val="24"/>
          <w:lang w:val="nn-NO"/>
        </w:rPr>
      </w:pPr>
      <w:r w:rsidRPr="008F15B3">
        <w:rPr>
          <w:rFonts w:ascii="Times New Roman" w:hAnsi="Times New Roman"/>
          <w:sz w:val="24"/>
          <w:szCs w:val="24"/>
        </w:rPr>
        <w:t xml:space="preserve">Kjelde: </w:t>
      </w:r>
      <w:proofErr w:type="spellStart"/>
      <w:r w:rsidRPr="008F15B3">
        <w:rPr>
          <w:rFonts w:ascii="Times New Roman" w:hAnsi="Times New Roman"/>
          <w:sz w:val="24"/>
          <w:szCs w:val="24"/>
        </w:rPr>
        <w:t>Prop</w:t>
      </w:r>
      <w:proofErr w:type="spellEnd"/>
      <w:r w:rsidR="00EF32FB" w:rsidRPr="008F15B3">
        <w:rPr>
          <w:rFonts w:ascii="Times New Roman" w:hAnsi="Times New Roman"/>
          <w:sz w:val="24"/>
          <w:szCs w:val="24"/>
        </w:rPr>
        <w:t>.</w:t>
      </w:r>
      <w:r w:rsidRPr="008F15B3">
        <w:rPr>
          <w:rFonts w:ascii="Times New Roman" w:hAnsi="Times New Roman"/>
          <w:sz w:val="24"/>
          <w:szCs w:val="24"/>
        </w:rPr>
        <w:t xml:space="preserve"> 1 St for</w:t>
      </w:r>
      <w:r w:rsidR="00EF32FB" w:rsidRPr="008F15B3">
        <w:rPr>
          <w:rFonts w:ascii="Times New Roman" w:hAnsi="Times New Roman"/>
          <w:sz w:val="24"/>
          <w:szCs w:val="24"/>
        </w:rPr>
        <w:t xml:space="preserve"> kvart budsjettår. Kommunaldepartementet. </w:t>
      </w:r>
      <w:r w:rsidR="00EF32FB" w:rsidRPr="000F3BB2">
        <w:rPr>
          <w:rFonts w:ascii="Times New Roman" w:hAnsi="Times New Roman"/>
          <w:sz w:val="24"/>
          <w:szCs w:val="24"/>
          <w:lang w:val="nn-NO"/>
        </w:rPr>
        <w:t xml:space="preserve">Tala i </w:t>
      </w:r>
      <w:r w:rsidR="00781073" w:rsidRPr="000F3BB2">
        <w:rPr>
          <w:rFonts w:ascii="Times New Roman" w:hAnsi="Times New Roman"/>
          <w:sz w:val="24"/>
          <w:szCs w:val="24"/>
          <w:lang w:val="nn-NO"/>
        </w:rPr>
        <w:t>parentes</w:t>
      </w:r>
      <w:r w:rsidR="00EF32FB" w:rsidRPr="000F3BB2">
        <w:rPr>
          <w:rFonts w:ascii="Times New Roman" w:hAnsi="Times New Roman"/>
          <w:sz w:val="24"/>
          <w:szCs w:val="24"/>
          <w:lang w:val="nn-NO"/>
        </w:rPr>
        <w:t xml:space="preserve"> er endelege tal </w:t>
      </w:r>
      <w:r w:rsidR="000F3BB2" w:rsidRPr="000F3BB2">
        <w:rPr>
          <w:rFonts w:ascii="Times New Roman" w:hAnsi="Times New Roman"/>
          <w:sz w:val="24"/>
          <w:szCs w:val="24"/>
          <w:lang w:val="nn-NO"/>
        </w:rPr>
        <w:t>frå</w:t>
      </w:r>
      <w:r w:rsidR="00EF32FB" w:rsidRPr="000F3BB2">
        <w:rPr>
          <w:rFonts w:ascii="Times New Roman" w:hAnsi="Times New Roman"/>
          <w:sz w:val="24"/>
          <w:szCs w:val="24"/>
          <w:lang w:val="nn-NO"/>
        </w:rPr>
        <w:t xml:space="preserve"> budsjettpr</w:t>
      </w:r>
      <w:r w:rsidR="00F94E42" w:rsidRPr="000F3BB2">
        <w:rPr>
          <w:rFonts w:ascii="Times New Roman" w:hAnsi="Times New Roman"/>
          <w:sz w:val="24"/>
          <w:szCs w:val="24"/>
          <w:lang w:val="nn-NO"/>
        </w:rPr>
        <w:t>oposisjonen</w:t>
      </w:r>
      <w:r w:rsidR="00EF32FB" w:rsidRPr="000F3BB2">
        <w:rPr>
          <w:rFonts w:ascii="Times New Roman" w:hAnsi="Times New Roman"/>
          <w:sz w:val="24"/>
          <w:szCs w:val="24"/>
          <w:lang w:val="nn-NO"/>
        </w:rPr>
        <w:t xml:space="preserve"> året etter.</w:t>
      </w:r>
      <w:r w:rsidRPr="000F3BB2">
        <w:rPr>
          <w:rFonts w:ascii="Times New Roman" w:hAnsi="Times New Roman"/>
          <w:sz w:val="24"/>
          <w:szCs w:val="24"/>
          <w:lang w:val="nn-NO"/>
        </w:rPr>
        <w:t xml:space="preserve"> </w:t>
      </w:r>
    </w:p>
    <w:p w14:paraId="3FBBF21C" w14:textId="77777777" w:rsidR="009733DA" w:rsidRPr="004B426E" w:rsidRDefault="006A48E9" w:rsidP="006200B3">
      <w:pPr>
        <w:rPr>
          <w:rFonts w:ascii="Times New Roman" w:hAnsi="Times New Roman"/>
          <w:sz w:val="24"/>
          <w:szCs w:val="24"/>
          <w:lang w:val="nn-NO"/>
        </w:rPr>
      </w:pPr>
      <w:r w:rsidRPr="008F15B3">
        <w:rPr>
          <w:rFonts w:ascii="Times New Roman" w:hAnsi="Times New Roman"/>
          <w:i/>
          <w:sz w:val="24"/>
          <w:szCs w:val="24"/>
        </w:rPr>
        <w:t xml:space="preserve">Oppsummering: </w:t>
      </w:r>
      <w:r w:rsidRPr="004B426E">
        <w:rPr>
          <w:rFonts w:ascii="Times New Roman" w:hAnsi="Times New Roman"/>
          <w:sz w:val="24"/>
          <w:szCs w:val="24"/>
          <w:lang w:val="nn-NO"/>
        </w:rPr>
        <w:t xml:space="preserve">Den </w:t>
      </w:r>
      <w:r w:rsidR="00EF32FB" w:rsidRPr="004B426E">
        <w:rPr>
          <w:rFonts w:ascii="Times New Roman" w:hAnsi="Times New Roman"/>
          <w:sz w:val="24"/>
          <w:szCs w:val="24"/>
          <w:lang w:val="nn-NO"/>
        </w:rPr>
        <w:t xml:space="preserve">budsjetterte </w:t>
      </w:r>
      <w:r w:rsidRPr="004B426E">
        <w:rPr>
          <w:rFonts w:ascii="Times New Roman" w:hAnsi="Times New Roman"/>
          <w:sz w:val="24"/>
          <w:szCs w:val="24"/>
          <w:lang w:val="nn-NO"/>
        </w:rPr>
        <w:t>prosentvise veksten</w:t>
      </w:r>
      <w:r w:rsidR="009733DA" w:rsidRPr="004B426E">
        <w:rPr>
          <w:rFonts w:ascii="Times New Roman" w:hAnsi="Times New Roman"/>
          <w:sz w:val="24"/>
          <w:szCs w:val="24"/>
          <w:lang w:val="nn-NO"/>
        </w:rPr>
        <w:t xml:space="preserve"> til kommunane</w:t>
      </w:r>
      <w:r w:rsidR="00F94E42" w:rsidRPr="004B426E">
        <w:rPr>
          <w:rFonts w:ascii="Times New Roman" w:hAnsi="Times New Roman"/>
          <w:sz w:val="24"/>
          <w:szCs w:val="24"/>
          <w:lang w:val="nn-NO"/>
        </w:rPr>
        <w:t>, både totalt og i dei</w:t>
      </w:r>
      <w:r w:rsidR="00EF32FB" w:rsidRPr="004B426E">
        <w:rPr>
          <w:rFonts w:ascii="Times New Roman" w:hAnsi="Times New Roman"/>
          <w:sz w:val="24"/>
          <w:szCs w:val="24"/>
          <w:lang w:val="nn-NO"/>
        </w:rPr>
        <w:t xml:space="preserve"> </w:t>
      </w:r>
      <w:r w:rsidR="00F94E42" w:rsidRPr="004B426E">
        <w:rPr>
          <w:rFonts w:ascii="Times New Roman" w:hAnsi="Times New Roman"/>
          <w:sz w:val="24"/>
          <w:szCs w:val="24"/>
          <w:lang w:val="nn-NO"/>
        </w:rPr>
        <w:t>«</w:t>
      </w:r>
      <w:r w:rsidR="00EF32FB" w:rsidRPr="004B426E">
        <w:rPr>
          <w:rFonts w:ascii="Times New Roman" w:hAnsi="Times New Roman"/>
          <w:sz w:val="24"/>
          <w:szCs w:val="24"/>
          <w:lang w:val="nn-NO"/>
        </w:rPr>
        <w:t>frie inntektene</w:t>
      </w:r>
      <w:r w:rsidR="00F94E42" w:rsidRPr="004B426E">
        <w:rPr>
          <w:rFonts w:ascii="Times New Roman" w:hAnsi="Times New Roman"/>
          <w:sz w:val="24"/>
          <w:szCs w:val="24"/>
          <w:lang w:val="nn-NO"/>
        </w:rPr>
        <w:t>»</w:t>
      </w:r>
      <w:r w:rsidR="00EF32FB" w:rsidRPr="004B426E">
        <w:rPr>
          <w:rFonts w:ascii="Times New Roman" w:hAnsi="Times New Roman"/>
          <w:sz w:val="24"/>
          <w:szCs w:val="24"/>
          <w:lang w:val="nn-NO"/>
        </w:rPr>
        <w:t xml:space="preserve"> </w:t>
      </w:r>
      <w:r w:rsidR="00781073" w:rsidRPr="004B426E">
        <w:rPr>
          <w:rFonts w:ascii="Times New Roman" w:hAnsi="Times New Roman"/>
          <w:sz w:val="24"/>
          <w:szCs w:val="24"/>
          <w:lang w:val="nn-NO"/>
        </w:rPr>
        <w:t>har, med unnta</w:t>
      </w:r>
      <w:r w:rsidR="00322EB2" w:rsidRPr="004B426E">
        <w:rPr>
          <w:rFonts w:ascii="Times New Roman" w:hAnsi="Times New Roman"/>
          <w:sz w:val="24"/>
          <w:szCs w:val="24"/>
          <w:lang w:val="nn-NO"/>
        </w:rPr>
        <w:t xml:space="preserve">k for 2012, </w:t>
      </w:r>
      <w:r w:rsidRPr="004B426E">
        <w:rPr>
          <w:rFonts w:ascii="Times New Roman" w:hAnsi="Times New Roman"/>
          <w:sz w:val="24"/>
          <w:szCs w:val="24"/>
          <w:lang w:val="nn-NO"/>
        </w:rPr>
        <w:t xml:space="preserve">vore vesentleg lågare enn </w:t>
      </w:r>
      <w:r w:rsidR="00F94E42" w:rsidRPr="004B426E">
        <w:rPr>
          <w:rFonts w:ascii="Times New Roman" w:hAnsi="Times New Roman"/>
          <w:sz w:val="24"/>
          <w:szCs w:val="24"/>
          <w:lang w:val="nn-NO"/>
        </w:rPr>
        <w:t>budsjettert vekst</w:t>
      </w:r>
      <w:r w:rsidRPr="004B426E">
        <w:rPr>
          <w:rFonts w:ascii="Times New Roman" w:hAnsi="Times New Roman"/>
          <w:sz w:val="24"/>
          <w:szCs w:val="24"/>
          <w:lang w:val="nn-NO"/>
        </w:rPr>
        <w:t xml:space="preserve"> i spesialisthelsetenesta. </w:t>
      </w:r>
    </w:p>
    <w:p w14:paraId="2843FD35" w14:textId="77777777" w:rsidR="004B426E" w:rsidRPr="004B426E" w:rsidRDefault="009733DA" w:rsidP="004B426E">
      <w:pPr>
        <w:rPr>
          <w:rFonts w:ascii="Times New Roman" w:hAnsi="Times New Roman"/>
          <w:sz w:val="24"/>
          <w:szCs w:val="24"/>
          <w:lang w:val="nn-NO"/>
        </w:rPr>
      </w:pPr>
      <w:r w:rsidRPr="004B426E">
        <w:rPr>
          <w:rFonts w:ascii="Times New Roman" w:hAnsi="Times New Roman"/>
          <w:sz w:val="24"/>
          <w:szCs w:val="24"/>
          <w:lang w:val="nn-NO"/>
        </w:rPr>
        <w:t>Det er difor vanskeleg å sjå at regjering/Sto</w:t>
      </w:r>
      <w:r w:rsidR="004B426E">
        <w:rPr>
          <w:rFonts w:ascii="Times New Roman" w:hAnsi="Times New Roman"/>
          <w:sz w:val="24"/>
          <w:szCs w:val="24"/>
          <w:lang w:val="nn-NO"/>
        </w:rPr>
        <w:t xml:space="preserve">rting har lagt til rette for </w:t>
      </w:r>
      <w:r w:rsidR="004B426E" w:rsidRPr="004B426E">
        <w:rPr>
          <w:rFonts w:ascii="Times New Roman" w:hAnsi="Times New Roman"/>
          <w:sz w:val="24"/>
          <w:szCs w:val="24"/>
          <w:lang w:val="nn-NO"/>
        </w:rPr>
        <w:t xml:space="preserve">at den forventa veksten i helsetenesta primært skal skje i kommunane. </w:t>
      </w:r>
    </w:p>
    <w:p w14:paraId="53559658" w14:textId="77777777" w:rsidR="006A48E9" w:rsidRPr="00322EB2" w:rsidRDefault="00F94E42" w:rsidP="006200B3">
      <w:pPr>
        <w:rPr>
          <w:rFonts w:ascii="Times New Roman" w:hAnsi="Times New Roman"/>
          <w:sz w:val="24"/>
          <w:szCs w:val="24"/>
          <w:lang w:val="nn-NO"/>
        </w:rPr>
      </w:pPr>
      <w:r w:rsidRPr="00322EB2">
        <w:rPr>
          <w:rFonts w:ascii="Times New Roman" w:hAnsi="Times New Roman"/>
          <w:sz w:val="24"/>
          <w:szCs w:val="24"/>
          <w:lang w:val="nn-NO"/>
        </w:rPr>
        <w:t xml:space="preserve">Om </w:t>
      </w:r>
      <w:r w:rsidR="006A48E9" w:rsidRPr="00322EB2">
        <w:rPr>
          <w:rFonts w:ascii="Times New Roman" w:hAnsi="Times New Roman"/>
          <w:sz w:val="24"/>
          <w:szCs w:val="24"/>
          <w:lang w:val="nn-NO"/>
        </w:rPr>
        <w:t xml:space="preserve">intensjonane </w:t>
      </w:r>
      <w:r w:rsidR="00521494" w:rsidRPr="00322EB2">
        <w:rPr>
          <w:rFonts w:ascii="Times New Roman" w:hAnsi="Times New Roman"/>
          <w:sz w:val="24"/>
          <w:szCs w:val="24"/>
          <w:lang w:val="nn-NO"/>
        </w:rPr>
        <w:t>er følgd opp</w:t>
      </w:r>
      <w:r w:rsidR="006A48E9" w:rsidRPr="00322EB2">
        <w:rPr>
          <w:rFonts w:ascii="Times New Roman" w:hAnsi="Times New Roman"/>
          <w:sz w:val="24"/>
          <w:szCs w:val="24"/>
          <w:lang w:val="nn-NO"/>
        </w:rPr>
        <w:t xml:space="preserve"> </w:t>
      </w:r>
      <w:r w:rsidR="00322EB2" w:rsidRPr="00322EB2">
        <w:rPr>
          <w:rFonts w:ascii="Times New Roman" w:hAnsi="Times New Roman"/>
          <w:sz w:val="24"/>
          <w:szCs w:val="24"/>
          <w:lang w:val="nn-NO"/>
        </w:rPr>
        <w:t xml:space="preserve">må det i tilfelle vere resultat av at </w:t>
      </w:r>
      <w:r w:rsidR="0004451D">
        <w:rPr>
          <w:rFonts w:ascii="Times New Roman" w:hAnsi="Times New Roman"/>
          <w:sz w:val="24"/>
          <w:szCs w:val="24"/>
          <w:lang w:val="nn-NO"/>
        </w:rPr>
        <w:t>kommunane</w:t>
      </w:r>
      <w:r w:rsidR="006A48E9" w:rsidRPr="00322EB2">
        <w:rPr>
          <w:rFonts w:ascii="Times New Roman" w:hAnsi="Times New Roman"/>
          <w:sz w:val="24"/>
          <w:szCs w:val="24"/>
          <w:lang w:val="nn-NO"/>
        </w:rPr>
        <w:t xml:space="preserve"> har prioritert helse og omsorgssektoren høgare enn anna kommunal aktivitet.</w:t>
      </w:r>
    </w:p>
    <w:p w14:paraId="1575A1BC" w14:textId="77777777" w:rsidR="00EF32FB" w:rsidRPr="00322EB2" w:rsidRDefault="00EF32FB" w:rsidP="006200B3">
      <w:pPr>
        <w:rPr>
          <w:rFonts w:ascii="Times New Roman" w:hAnsi="Times New Roman"/>
          <w:sz w:val="24"/>
          <w:szCs w:val="24"/>
          <w:lang w:val="nn-NO"/>
        </w:rPr>
      </w:pPr>
    </w:p>
    <w:p w14:paraId="5CCA751F" w14:textId="77777777" w:rsidR="008D1C88" w:rsidRPr="0004451D" w:rsidRDefault="00F94E42" w:rsidP="006200B3">
      <w:pPr>
        <w:rPr>
          <w:rFonts w:ascii="Times New Roman" w:hAnsi="Times New Roman"/>
          <w:sz w:val="24"/>
          <w:szCs w:val="24"/>
          <w:lang w:val="nn-NO"/>
        </w:rPr>
      </w:pPr>
      <w:r w:rsidRPr="0004451D">
        <w:rPr>
          <w:rFonts w:ascii="Times New Roman" w:hAnsi="Times New Roman"/>
          <w:b/>
          <w:sz w:val="24"/>
          <w:szCs w:val="24"/>
          <w:lang w:val="nn-NO"/>
        </w:rPr>
        <w:t>Tabell 2.3</w:t>
      </w:r>
      <w:r w:rsidR="008D1C88" w:rsidRPr="0004451D">
        <w:rPr>
          <w:rFonts w:ascii="Times New Roman" w:hAnsi="Times New Roman"/>
          <w:b/>
          <w:sz w:val="24"/>
          <w:szCs w:val="24"/>
          <w:lang w:val="nn-NO"/>
        </w:rPr>
        <w:t xml:space="preserve">: Rekneskapstal, brutto driftsutgifter til </w:t>
      </w:r>
      <w:r w:rsidR="00A873F1" w:rsidRPr="0004451D">
        <w:rPr>
          <w:rFonts w:ascii="Times New Roman" w:hAnsi="Times New Roman"/>
          <w:b/>
          <w:sz w:val="24"/>
          <w:szCs w:val="24"/>
          <w:lang w:val="nn-NO"/>
        </w:rPr>
        <w:t xml:space="preserve">kommunane totalt samt til </w:t>
      </w:r>
      <w:r w:rsidR="008D1C88" w:rsidRPr="0004451D">
        <w:rPr>
          <w:rFonts w:ascii="Times New Roman" w:hAnsi="Times New Roman"/>
          <w:b/>
          <w:sz w:val="24"/>
          <w:szCs w:val="24"/>
          <w:lang w:val="nn-NO"/>
        </w:rPr>
        <w:t>helsetenester og pleie og omsorgstenester 2</w:t>
      </w:r>
      <w:r w:rsidR="0039686B" w:rsidRPr="0004451D">
        <w:rPr>
          <w:rFonts w:ascii="Times New Roman" w:hAnsi="Times New Roman"/>
          <w:b/>
          <w:sz w:val="24"/>
          <w:szCs w:val="24"/>
          <w:lang w:val="nn-NO"/>
        </w:rPr>
        <w:t>011</w:t>
      </w:r>
      <w:r w:rsidR="008D1C88" w:rsidRPr="0004451D">
        <w:rPr>
          <w:rFonts w:ascii="Times New Roman" w:hAnsi="Times New Roman"/>
          <w:b/>
          <w:sz w:val="24"/>
          <w:szCs w:val="24"/>
          <w:lang w:val="nn-NO"/>
        </w:rPr>
        <w:t xml:space="preserve"> – 2014.</w:t>
      </w:r>
      <w:r w:rsidR="00521494" w:rsidRPr="0004451D">
        <w:rPr>
          <w:rFonts w:ascii="Times New Roman" w:hAnsi="Times New Roman"/>
          <w:b/>
          <w:sz w:val="24"/>
          <w:szCs w:val="24"/>
          <w:lang w:val="nn-NO"/>
        </w:rPr>
        <w:t xml:space="preserve"> </w:t>
      </w:r>
      <w:r w:rsidR="00521494" w:rsidRPr="0004451D">
        <w:rPr>
          <w:rFonts w:ascii="Times New Roman" w:hAnsi="Times New Roman"/>
          <w:sz w:val="24"/>
          <w:szCs w:val="24"/>
          <w:lang w:val="nn-NO"/>
        </w:rPr>
        <w:t xml:space="preserve">(Kjelde: </w:t>
      </w:r>
      <w:proofErr w:type="spellStart"/>
      <w:r w:rsidR="00521494" w:rsidRPr="0004451D">
        <w:rPr>
          <w:rFonts w:ascii="Times New Roman" w:hAnsi="Times New Roman"/>
          <w:sz w:val="24"/>
          <w:szCs w:val="24"/>
          <w:lang w:val="nn-NO"/>
        </w:rPr>
        <w:t>Prop</w:t>
      </w:r>
      <w:proofErr w:type="spellEnd"/>
      <w:r w:rsidR="00521494" w:rsidRPr="0004451D">
        <w:rPr>
          <w:rFonts w:ascii="Times New Roman" w:hAnsi="Times New Roman"/>
          <w:sz w:val="24"/>
          <w:szCs w:val="24"/>
          <w:lang w:val="nn-NO"/>
        </w:rPr>
        <w:t xml:space="preserve"> 1 S Helse- og omsorgsdepartementet, Tabell kap. 9: Utviklingstrekk i kommunane)</w:t>
      </w:r>
    </w:p>
    <w:p w14:paraId="5DFC1F92" w14:textId="77777777" w:rsidR="00604DC1" w:rsidRPr="0004451D" w:rsidRDefault="000F3BB2" w:rsidP="006200B3">
      <w:pPr>
        <w:rPr>
          <w:rFonts w:ascii="Times New Roman" w:hAnsi="Times New Roman"/>
          <w:sz w:val="24"/>
          <w:szCs w:val="24"/>
          <w:lang w:val="nn-NO"/>
        </w:rPr>
      </w:pPr>
      <w:r>
        <w:rPr>
          <w:rFonts w:ascii="Times New Roman" w:hAnsi="Times New Roman"/>
          <w:sz w:val="24"/>
          <w:szCs w:val="24"/>
          <w:lang w:val="nn-NO"/>
        </w:rPr>
        <w:t>Då s</w:t>
      </w:r>
      <w:r w:rsidRPr="0004451D">
        <w:rPr>
          <w:rFonts w:ascii="Times New Roman" w:hAnsi="Times New Roman"/>
          <w:sz w:val="24"/>
          <w:szCs w:val="24"/>
          <w:lang w:val="nn-NO"/>
        </w:rPr>
        <w:t xml:space="preserve">amhandlingsreforma vart presentert </w:t>
      </w:r>
      <w:r>
        <w:rPr>
          <w:rFonts w:ascii="Times New Roman" w:hAnsi="Times New Roman"/>
          <w:sz w:val="24"/>
          <w:szCs w:val="24"/>
          <w:lang w:val="nn-NO"/>
        </w:rPr>
        <w:t>var det u</w:t>
      </w:r>
      <w:r w:rsidR="00604DC1" w:rsidRPr="0004451D">
        <w:rPr>
          <w:rFonts w:ascii="Times New Roman" w:hAnsi="Times New Roman"/>
          <w:sz w:val="24"/>
          <w:szCs w:val="24"/>
          <w:lang w:val="nn-NO"/>
        </w:rPr>
        <w:t>tvikling</w:t>
      </w:r>
      <w:r w:rsidR="00251827" w:rsidRPr="0004451D">
        <w:rPr>
          <w:rFonts w:ascii="Times New Roman" w:hAnsi="Times New Roman"/>
          <w:sz w:val="24"/>
          <w:szCs w:val="24"/>
          <w:lang w:val="nn-NO"/>
        </w:rPr>
        <w:t>a</w:t>
      </w:r>
      <w:r w:rsidR="00604DC1" w:rsidRPr="0004451D">
        <w:rPr>
          <w:rFonts w:ascii="Times New Roman" w:hAnsi="Times New Roman"/>
          <w:sz w:val="24"/>
          <w:szCs w:val="24"/>
          <w:lang w:val="nn-NO"/>
        </w:rPr>
        <w:t xml:space="preserve"> i kommunane</w:t>
      </w:r>
      <w:r>
        <w:rPr>
          <w:rFonts w:ascii="Times New Roman" w:hAnsi="Times New Roman"/>
          <w:sz w:val="24"/>
          <w:szCs w:val="24"/>
          <w:lang w:val="nn-NO"/>
        </w:rPr>
        <w:t xml:space="preserve"> </w:t>
      </w:r>
      <w:r w:rsidR="00604DC1" w:rsidRPr="0004451D">
        <w:rPr>
          <w:rFonts w:ascii="Times New Roman" w:hAnsi="Times New Roman"/>
          <w:sz w:val="24"/>
          <w:szCs w:val="24"/>
          <w:lang w:val="nn-NO"/>
        </w:rPr>
        <w:t>s</w:t>
      </w:r>
      <w:r>
        <w:rPr>
          <w:rFonts w:ascii="Times New Roman" w:hAnsi="Times New Roman"/>
          <w:sz w:val="24"/>
          <w:szCs w:val="24"/>
          <w:lang w:val="nn-NO"/>
        </w:rPr>
        <w:t>ine</w:t>
      </w:r>
      <w:r w:rsidR="00604DC1" w:rsidRPr="0004451D">
        <w:rPr>
          <w:rFonts w:ascii="Times New Roman" w:hAnsi="Times New Roman"/>
          <w:sz w:val="24"/>
          <w:szCs w:val="24"/>
          <w:lang w:val="nn-NO"/>
        </w:rPr>
        <w:t xml:space="preserve"> brutto driftsutgi</w:t>
      </w:r>
      <w:r w:rsidR="003C29CE" w:rsidRPr="0004451D">
        <w:rPr>
          <w:rFonts w:ascii="Times New Roman" w:hAnsi="Times New Roman"/>
          <w:sz w:val="24"/>
          <w:szCs w:val="24"/>
          <w:lang w:val="nn-NO"/>
        </w:rPr>
        <w:t>fter til helsetene</w:t>
      </w:r>
      <w:r w:rsidR="00251827" w:rsidRPr="0004451D">
        <w:rPr>
          <w:rFonts w:ascii="Times New Roman" w:hAnsi="Times New Roman"/>
          <w:sz w:val="24"/>
          <w:szCs w:val="24"/>
          <w:lang w:val="nn-NO"/>
        </w:rPr>
        <w:t>ster</w:t>
      </w:r>
      <w:r w:rsidR="003C29CE" w:rsidRPr="0004451D">
        <w:rPr>
          <w:rFonts w:ascii="Times New Roman" w:hAnsi="Times New Roman"/>
          <w:sz w:val="24"/>
          <w:szCs w:val="24"/>
          <w:lang w:val="nn-NO"/>
        </w:rPr>
        <w:t xml:space="preserve"> og pleie</w:t>
      </w:r>
      <w:r>
        <w:rPr>
          <w:rFonts w:ascii="Times New Roman" w:hAnsi="Times New Roman"/>
          <w:sz w:val="24"/>
          <w:szCs w:val="24"/>
          <w:lang w:val="nn-NO"/>
        </w:rPr>
        <w:t xml:space="preserve"> og</w:t>
      </w:r>
      <w:r w:rsidR="003C29CE" w:rsidRPr="0004451D">
        <w:rPr>
          <w:rFonts w:ascii="Times New Roman" w:hAnsi="Times New Roman"/>
          <w:sz w:val="24"/>
          <w:szCs w:val="24"/>
          <w:lang w:val="nn-NO"/>
        </w:rPr>
        <w:t xml:space="preserve"> </w:t>
      </w:r>
      <w:r w:rsidR="00251827" w:rsidRPr="0004451D">
        <w:rPr>
          <w:rFonts w:ascii="Times New Roman" w:hAnsi="Times New Roman"/>
          <w:sz w:val="24"/>
          <w:szCs w:val="24"/>
          <w:lang w:val="nn-NO"/>
        </w:rPr>
        <w:t>omsorgstenester som vart nytta</w:t>
      </w:r>
      <w:r>
        <w:rPr>
          <w:rFonts w:ascii="Times New Roman" w:hAnsi="Times New Roman"/>
          <w:sz w:val="24"/>
          <w:szCs w:val="24"/>
          <w:lang w:val="nn-NO"/>
        </w:rPr>
        <w:t xml:space="preserve"> som indikator</w:t>
      </w:r>
      <w:r w:rsidR="00251827" w:rsidRPr="0004451D">
        <w:rPr>
          <w:rFonts w:ascii="Times New Roman" w:hAnsi="Times New Roman"/>
          <w:sz w:val="24"/>
          <w:szCs w:val="24"/>
          <w:lang w:val="nn-NO"/>
        </w:rPr>
        <w:t xml:space="preserve"> for å illustr</w:t>
      </w:r>
      <w:r>
        <w:rPr>
          <w:rFonts w:ascii="Times New Roman" w:hAnsi="Times New Roman"/>
          <w:sz w:val="24"/>
          <w:szCs w:val="24"/>
          <w:lang w:val="nn-NO"/>
        </w:rPr>
        <w:t>era</w:t>
      </w:r>
      <w:r w:rsidR="00251827" w:rsidRPr="0004451D">
        <w:rPr>
          <w:rFonts w:ascii="Times New Roman" w:hAnsi="Times New Roman"/>
          <w:sz w:val="24"/>
          <w:szCs w:val="24"/>
          <w:lang w:val="nn-NO"/>
        </w:rPr>
        <w:t xml:space="preserve"> utviklinga i kommunane jamført med utviklinga i spesiali</w:t>
      </w:r>
      <w:r w:rsidR="0039686B" w:rsidRPr="0004451D">
        <w:rPr>
          <w:rFonts w:ascii="Times New Roman" w:hAnsi="Times New Roman"/>
          <w:sz w:val="24"/>
          <w:szCs w:val="24"/>
          <w:lang w:val="nn-NO"/>
        </w:rPr>
        <w:t>s</w:t>
      </w:r>
      <w:r w:rsidR="00251827" w:rsidRPr="0004451D">
        <w:rPr>
          <w:rFonts w:ascii="Times New Roman" w:hAnsi="Times New Roman"/>
          <w:sz w:val="24"/>
          <w:szCs w:val="24"/>
          <w:lang w:val="nn-NO"/>
        </w:rPr>
        <w:t xml:space="preserve">thelsetenesta. </w:t>
      </w:r>
      <w:r w:rsidR="008D1C88" w:rsidRPr="0004451D">
        <w:rPr>
          <w:rFonts w:ascii="Times New Roman" w:hAnsi="Times New Roman"/>
          <w:sz w:val="24"/>
          <w:szCs w:val="24"/>
          <w:lang w:val="nn-NO"/>
        </w:rPr>
        <w:t>Det var her veksten skulle kome, samstundes som veksten i spesiali</w:t>
      </w:r>
      <w:r>
        <w:rPr>
          <w:rFonts w:ascii="Times New Roman" w:hAnsi="Times New Roman"/>
          <w:sz w:val="24"/>
          <w:szCs w:val="24"/>
          <w:lang w:val="nn-NO"/>
        </w:rPr>
        <w:t>sthelsetenesta skulle flata</w:t>
      </w:r>
      <w:r w:rsidR="008D1C88" w:rsidRPr="0004451D">
        <w:rPr>
          <w:rFonts w:ascii="Times New Roman" w:hAnsi="Times New Roman"/>
          <w:sz w:val="24"/>
          <w:szCs w:val="24"/>
          <w:lang w:val="nn-NO"/>
        </w:rPr>
        <w:t xml:space="preserve"> ut.</w:t>
      </w:r>
    </w:p>
    <w:p w14:paraId="2C5400CD" w14:textId="77777777" w:rsidR="00EF32FB" w:rsidRPr="0004451D" w:rsidRDefault="00EF32FB" w:rsidP="006200B3">
      <w:pPr>
        <w:rPr>
          <w:rFonts w:ascii="Times New Roman" w:hAnsi="Times New Roman"/>
          <w:sz w:val="24"/>
          <w:szCs w:val="24"/>
          <w:lang w:val="nn-NO"/>
        </w:rPr>
      </w:pPr>
      <w:r w:rsidRPr="0004451D">
        <w:rPr>
          <w:rFonts w:ascii="Times New Roman" w:hAnsi="Times New Roman"/>
          <w:sz w:val="24"/>
          <w:szCs w:val="24"/>
          <w:lang w:val="nn-NO"/>
        </w:rPr>
        <w:t>I statsbudsjettet for 2016</w:t>
      </w:r>
      <w:r w:rsidR="00857433" w:rsidRPr="0004451D">
        <w:rPr>
          <w:rFonts w:ascii="Times New Roman" w:hAnsi="Times New Roman"/>
          <w:sz w:val="24"/>
          <w:szCs w:val="24"/>
          <w:lang w:val="nn-NO"/>
        </w:rPr>
        <w:t xml:space="preserve">, Kommunal og mod. Dept., </w:t>
      </w:r>
      <w:r w:rsidRPr="0004451D">
        <w:rPr>
          <w:rFonts w:ascii="Times New Roman" w:hAnsi="Times New Roman"/>
          <w:sz w:val="24"/>
          <w:szCs w:val="24"/>
          <w:lang w:val="nn-NO"/>
        </w:rPr>
        <w:t xml:space="preserve"> er det tabell som viser utviklinga i brutto driftsutgifter til kommunane. I tillegg er brutto driftsutgifter til kommunehelsetenester og pleie og omsorgstenester spesifisert. </w:t>
      </w:r>
      <w:r w:rsidR="00857433" w:rsidRPr="0004451D">
        <w:rPr>
          <w:rFonts w:ascii="Times New Roman" w:hAnsi="Times New Roman"/>
          <w:sz w:val="24"/>
          <w:szCs w:val="24"/>
          <w:lang w:val="nn-NO"/>
        </w:rPr>
        <w:t>Korreksjon som følgje budsjettmessige endringar som konsekvens av Samhandlingsreforma i 2012 er og spesifisert.</w:t>
      </w:r>
    </w:p>
    <w:p w14:paraId="2DAF8D5E" w14:textId="77777777" w:rsidR="00F94E42" w:rsidRPr="0004451D" w:rsidRDefault="00F94E42" w:rsidP="006200B3">
      <w:pPr>
        <w:rPr>
          <w:rFonts w:ascii="Times New Roman" w:hAnsi="Times New Roman"/>
          <w:sz w:val="24"/>
          <w:szCs w:val="24"/>
          <w:lang w:val="nn-NO"/>
        </w:rPr>
      </w:pPr>
    </w:p>
    <w:tbl>
      <w:tblPr>
        <w:tblStyle w:val="Tabellrutenett"/>
        <w:tblW w:w="9067" w:type="dxa"/>
        <w:tblLayout w:type="fixed"/>
        <w:tblLook w:val="04A0" w:firstRow="1" w:lastRow="0" w:firstColumn="1" w:lastColumn="0" w:noHBand="0" w:noVBand="1"/>
      </w:tblPr>
      <w:tblGrid>
        <w:gridCol w:w="4390"/>
        <w:gridCol w:w="1275"/>
        <w:gridCol w:w="1134"/>
        <w:gridCol w:w="1134"/>
        <w:gridCol w:w="1134"/>
      </w:tblGrid>
      <w:tr w:rsidR="00857433" w14:paraId="510FC7DD" w14:textId="77777777" w:rsidTr="00A873F1">
        <w:tc>
          <w:tcPr>
            <w:tcW w:w="4390" w:type="dxa"/>
          </w:tcPr>
          <w:p w14:paraId="42CF2145" w14:textId="77777777" w:rsidR="00857433" w:rsidRDefault="00A65D25" w:rsidP="006200B3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nn-NO"/>
              </w:rPr>
              <w:t>Br.dr.utg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nn-NO"/>
              </w:rPr>
              <w:t xml:space="preserve">. kommunane totalt.                </w:t>
            </w:r>
          </w:p>
        </w:tc>
        <w:tc>
          <w:tcPr>
            <w:tcW w:w="1275" w:type="dxa"/>
          </w:tcPr>
          <w:p w14:paraId="1F3C30E8" w14:textId="77777777" w:rsidR="00857433" w:rsidRDefault="00857433" w:rsidP="00857433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2011</w:t>
            </w:r>
          </w:p>
        </w:tc>
        <w:tc>
          <w:tcPr>
            <w:tcW w:w="1134" w:type="dxa"/>
          </w:tcPr>
          <w:p w14:paraId="632CE9C7" w14:textId="77777777" w:rsidR="00857433" w:rsidRDefault="00857433" w:rsidP="00857433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2012</w:t>
            </w:r>
          </w:p>
        </w:tc>
        <w:tc>
          <w:tcPr>
            <w:tcW w:w="1134" w:type="dxa"/>
          </w:tcPr>
          <w:p w14:paraId="4D116BA8" w14:textId="77777777" w:rsidR="00857433" w:rsidRDefault="00857433" w:rsidP="00857433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2013</w:t>
            </w:r>
          </w:p>
        </w:tc>
        <w:tc>
          <w:tcPr>
            <w:tcW w:w="1134" w:type="dxa"/>
          </w:tcPr>
          <w:p w14:paraId="305BE93E" w14:textId="77777777" w:rsidR="00857433" w:rsidRDefault="00857433" w:rsidP="00857433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2014</w:t>
            </w:r>
          </w:p>
        </w:tc>
      </w:tr>
      <w:tr w:rsidR="00857433" w14:paraId="05AB3F3E" w14:textId="77777777" w:rsidTr="00A873F1">
        <w:tc>
          <w:tcPr>
            <w:tcW w:w="4390" w:type="dxa"/>
          </w:tcPr>
          <w:p w14:paraId="6573490B" w14:textId="77777777" w:rsidR="00A65D25" w:rsidRDefault="00857433" w:rsidP="006200B3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% - vis auke jamført med førre år</w:t>
            </w:r>
          </w:p>
        </w:tc>
        <w:tc>
          <w:tcPr>
            <w:tcW w:w="1275" w:type="dxa"/>
          </w:tcPr>
          <w:p w14:paraId="12C60A15" w14:textId="77777777" w:rsidR="00857433" w:rsidRDefault="00857433" w:rsidP="00857433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5,8 %</w:t>
            </w:r>
          </w:p>
        </w:tc>
        <w:tc>
          <w:tcPr>
            <w:tcW w:w="1134" w:type="dxa"/>
          </w:tcPr>
          <w:p w14:paraId="527D8E5C" w14:textId="77777777" w:rsidR="00857433" w:rsidRDefault="00857433" w:rsidP="00857433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6,7 %</w:t>
            </w:r>
          </w:p>
        </w:tc>
        <w:tc>
          <w:tcPr>
            <w:tcW w:w="1134" w:type="dxa"/>
          </w:tcPr>
          <w:p w14:paraId="35CB4B3F" w14:textId="77777777" w:rsidR="00857433" w:rsidRDefault="00857433" w:rsidP="00857433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5,8 %</w:t>
            </w:r>
          </w:p>
        </w:tc>
        <w:tc>
          <w:tcPr>
            <w:tcW w:w="1134" w:type="dxa"/>
          </w:tcPr>
          <w:p w14:paraId="531271F9" w14:textId="77777777" w:rsidR="00857433" w:rsidRDefault="00857433" w:rsidP="00857433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4,4 %</w:t>
            </w:r>
          </w:p>
        </w:tc>
      </w:tr>
    </w:tbl>
    <w:p w14:paraId="15A5E293" w14:textId="77777777" w:rsidR="00A873F1" w:rsidRDefault="00A873F1" w:rsidP="00D176C0">
      <w:pPr>
        <w:rPr>
          <w:rFonts w:ascii="Times New Roman" w:hAnsi="Times New Roman"/>
          <w:sz w:val="24"/>
          <w:szCs w:val="24"/>
        </w:rPr>
      </w:pPr>
    </w:p>
    <w:tbl>
      <w:tblPr>
        <w:tblStyle w:val="Tabellrutenett"/>
        <w:tblW w:w="9067" w:type="dxa"/>
        <w:tblLayout w:type="fixed"/>
        <w:tblLook w:val="04A0" w:firstRow="1" w:lastRow="0" w:firstColumn="1" w:lastColumn="0" w:noHBand="0" w:noVBand="1"/>
      </w:tblPr>
      <w:tblGrid>
        <w:gridCol w:w="4390"/>
        <w:gridCol w:w="1275"/>
        <w:gridCol w:w="1134"/>
        <w:gridCol w:w="1134"/>
        <w:gridCol w:w="1134"/>
      </w:tblGrid>
      <w:tr w:rsidR="003B36AA" w14:paraId="0D89C47E" w14:textId="77777777" w:rsidTr="003B36AA">
        <w:tc>
          <w:tcPr>
            <w:tcW w:w="4390" w:type="dxa"/>
          </w:tcPr>
          <w:p w14:paraId="17F1EBF5" w14:textId="77777777" w:rsidR="003B36AA" w:rsidRDefault="003B36AA" w:rsidP="003B36AA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nn-NO"/>
              </w:rPr>
              <w:t>Br.dr.utg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nn-NO"/>
              </w:rPr>
              <w:t xml:space="preserve">. kommunane. Kommunehelsetenester                </w:t>
            </w:r>
          </w:p>
        </w:tc>
        <w:tc>
          <w:tcPr>
            <w:tcW w:w="1275" w:type="dxa"/>
          </w:tcPr>
          <w:p w14:paraId="36F5E594" w14:textId="77777777" w:rsidR="003B36AA" w:rsidRDefault="003B36AA" w:rsidP="003B36AA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2011</w:t>
            </w:r>
          </w:p>
        </w:tc>
        <w:tc>
          <w:tcPr>
            <w:tcW w:w="1134" w:type="dxa"/>
          </w:tcPr>
          <w:p w14:paraId="127534DD" w14:textId="77777777" w:rsidR="003B36AA" w:rsidRDefault="003B36AA" w:rsidP="003B36AA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2012</w:t>
            </w:r>
          </w:p>
        </w:tc>
        <w:tc>
          <w:tcPr>
            <w:tcW w:w="1134" w:type="dxa"/>
          </w:tcPr>
          <w:p w14:paraId="3579AA73" w14:textId="77777777" w:rsidR="003B36AA" w:rsidRDefault="003B36AA" w:rsidP="003B36AA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2013</w:t>
            </w:r>
          </w:p>
        </w:tc>
        <w:tc>
          <w:tcPr>
            <w:tcW w:w="1134" w:type="dxa"/>
          </w:tcPr>
          <w:p w14:paraId="178CBF0B" w14:textId="77777777" w:rsidR="003B36AA" w:rsidRDefault="003B36AA" w:rsidP="003B36AA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2014</w:t>
            </w:r>
          </w:p>
        </w:tc>
      </w:tr>
      <w:tr w:rsidR="003B36AA" w14:paraId="2FF21097" w14:textId="77777777" w:rsidTr="003B36AA">
        <w:tc>
          <w:tcPr>
            <w:tcW w:w="4390" w:type="dxa"/>
          </w:tcPr>
          <w:p w14:paraId="7943D1CA" w14:textId="77777777" w:rsidR="003B36AA" w:rsidRDefault="003B36AA" w:rsidP="003B36AA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% - vis auke jamført med førre år</w:t>
            </w:r>
          </w:p>
        </w:tc>
        <w:tc>
          <w:tcPr>
            <w:tcW w:w="1275" w:type="dxa"/>
          </w:tcPr>
          <w:p w14:paraId="39D41F2E" w14:textId="77777777" w:rsidR="003B36AA" w:rsidRDefault="003B36AA" w:rsidP="003B36AA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8,3 %</w:t>
            </w:r>
          </w:p>
        </w:tc>
        <w:tc>
          <w:tcPr>
            <w:tcW w:w="1134" w:type="dxa"/>
          </w:tcPr>
          <w:p w14:paraId="19BCF7A9" w14:textId="77777777" w:rsidR="003B36AA" w:rsidRDefault="003B36AA" w:rsidP="003B36AA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6,4 %</w:t>
            </w:r>
          </w:p>
        </w:tc>
        <w:tc>
          <w:tcPr>
            <w:tcW w:w="1134" w:type="dxa"/>
          </w:tcPr>
          <w:p w14:paraId="0175E0F8" w14:textId="77777777" w:rsidR="003B36AA" w:rsidRDefault="003B36AA" w:rsidP="003B36AA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6,7 %</w:t>
            </w:r>
          </w:p>
        </w:tc>
        <w:tc>
          <w:tcPr>
            <w:tcW w:w="1134" w:type="dxa"/>
          </w:tcPr>
          <w:p w14:paraId="22444404" w14:textId="77777777" w:rsidR="003B36AA" w:rsidRDefault="003B36AA" w:rsidP="003B36AA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8 %</w:t>
            </w:r>
          </w:p>
        </w:tc>
      </w:tr>
    </w:tbl>
    <w:p w14:paraId="74734C9A" w14:textId="77777777" w:rsidR="00A873F1" w:rsidRDefault="00A873F1" w:rsidP="00D176C0">
      <w:pPr>
        <w:rPr>
          <w:rFonts w:ascii="Times New Roman" w:hAnsi="Times New Roman"/>
          <w:sz w:val="24"/>
          <w:szCs w:val="24"/>
        </w:rPr>
      </w:pPr>
    </w:p>
    <w:tbl>
      <w:tblPr>
        <w:tblStyle w:val="Tabellrutenett"/>
        <w:tblW w:w="9067" w:type="dxa"/>
        <w:tblLayout w:type="fixed"/>
        <w:tblLook w:val="04A0" w:firstRow="1" w:lastRow="0" w:firstColumn="1" w:lastColumn="0" w:noHBand="0" w:noVBand="1"/>
      </w:tblPr>
      <w:tblGrid>
        <w:gridCol w:w="4390"/>
        <w:gridCol w:w="1275"/>
        <w:gridCol w:w="1134"/>
        <w:gridCol w:w="1134"/>
        <w:gridCol w:w="1134"/>
      </w:tblGrid>
      <w:tr w:rsidR="003B36AA" w14:paraId="24218341" w14:textId="77777777" w:rsidTr="003B36AA">
        <w:tc>
          <w:tcPr>
            <w:tcW w:w="4390" w:type="dxa"/>
          </w:tcPr>
          <w:p w14:paraId="064EAD0B" w14:textId="77777777" w:rsidR="003B36AA" w:rsidRPr="003B36AA" w:rsidRDefault="003B36AA" w:rsidP="003B36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36AA">
              <w:rPr>
                <w:rFonts w:ascii="Times New Roman" w:hAnsi="Times New Roman"/>
                <w:sz w:val="24"/>
                <w:szCs w:val="24"/>
              </w:rPr>
              <w:lastRenderedPageBreak/>
              <w:t>Br.dr.utg</w:t>
            </w:r>
            <w:proofErr w:type="spellEnd"/>
            <w:r w:rsidRPr="003B36A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B36AA">
              <w:rPr>
                <w:rFonts w:ascii="Times New Roman" w:hAnsi="Times New Roman"/>
                <w:sz w:val="24"/>
                <w:szCs w:val="24"/>
              </w:rPr>
              <w:t>kommunane</w:t>
            </w:r>
            <w:proofErr w:type="spellEnd"/>
            <w:r w:rsidRPr="003B36AA">
              <w:rPr>
                <w:rFonts w:ascii="Times New Roman" w:hAnsi="Times New Roman"/>
                <w:sz w:val="24"/>
                <w:szCs w:val="24"/>
              </w:rPr>
              <w:t xml:space="preserve">. Pleie og </w:t>
            </w:r>
            <w:proofErr w:type="spellStart"/>
            <w:r w:rsidRPr="003B36AA">
              <w:rPr>
                <w:rFonts w:ascii="Times New Roman" w:hAnsi="Times New Roman"/>
                <w:sz w:val="24"/>
                <w:szCs w:val="24"/>
              </w:rPr>
              <w:t>omsorgstenestene</w:t>
            </w:r>
            <w:proofErr w:type="spellEnd"/>
            <w:r w:rsidRPr="003B36AA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275" w:type="dxa"/>
          </w:tcPr>
          <w:p w14:paraId="135128E2" w14:textId="77777777" w:rsidR="003B36AA" w:rsidRDefault="003B36AA" w:rsidP="003B36AA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2011</w:t>
            </w:r>
          </w:p>
        </w:tc>
        <w:tc>
          <w:tcPr>
            <w:tcW w:w="1134" w:type="dxa"/>
          </w:tcPr>
          <w:p w14:paraId="2B9A2E2F" w14:textId="77777777" w:rsidR="003B36AA" w:rsidRDefault="003B36AA" w:rsidP="003B36AA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2012</w:t>
            </w:r>
          </w:p>
        </w:tc>
        <w:tc>
          <w:tcPr>
            <w:tcW w:w="1134" w:type="dxa"/>
          </w:tcPr>
          <w:p w14:paraId="54EA90DF" w14:textId="77777777" w:rsidR="003B36AA" w:rsidRDefault="003B36AA" w:rsidP="003B36AA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2013</w:t>
            </w:r>
          </w:p>
        </w:tc>
        <w:tc>
          <w:tcPr>
            <w:tcW w:w="1134" w:type="dxa"/>
          </w:tcPr>
          <w:p w14:paraId="45C4A602" w14:textId="77777777" w:rsidR="003B36AA" w:rsidRDefault="003B36AA" w:rsidP="003B36AA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2014</w:t>
            </w:r>
          </w:p>
        </w:tc>
      </w:tr>
      <w:tr w:rsidR="003B36AA" w14:paraId="390558AE" w14:textId="77777777" w:rsidTr="003B36AA">
        <w:tc>
          <w:tcPr>
            <w:tcW w:w="4390" w:type="dxa"/>
          </w:tcPr>
          <w:p w14:paraId="34B51700" w14:textId="77777777" w:rsidR="003B36AA" w:rsidRDefault="003B36AA" w:rsidP="003B36AA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% - vis auke jamført med førre år</w:t>
            </w:r>
          </w:p>
        </w:tc>
        <w:tc>
          <w:tcPr>
            <w:tcW w:w="1275" w:type="dxa"/>
          </w:tcPr>
          <w:p w14:paraId="2240324B" w14:textId="77777777" w:rsidR="003B36AA" w:rsidRDefault="003B36AA" w:rsidP="003B36AA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5,9 %</w:t>
            </w:r>
          </w:p>
        </w:tc>
        <w:tc>
          <w:tcPr>
            <w:tcW w:w="1134" w:type="dxa"/>
          </w:tcPr>
          <w:p w14:paraId="13D6322D" w14:textId="77777777" w:rsidR="003B36AA" w:rsidRDefault="003B36AA" w:rsidP="003B36AA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8,4 %</w:t>
            </w:r>
          </w:p>
        </w:tc>
        <w:tc>
          <w:tcPr>
            <w:tcW w:w="1134" w:type="dxa"/>
          </w:tcPr>
          <w:p w14:paraId="1B4FB467" w14:textId="77777777" w:rsidR="003B36AA" w:rsidRDefault="003B36AA" w:rsidP="003B36AA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4,7 %</w:t>
            </w:r>
          </w:p>
        </w:tc>
        <w:tc>
          <w:tcPr>
            <w:tcW w:w="1134" w:type="dxa"/>
          </w:tcPr>
          <w:p w14:paraId="5BC894E7" w14:textId="77777777" w:rsidR="003B36AA" w:rsidRDefault="003B36AA" w:rsidP="003B36AA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6,8 %</w:t>
            </w:r>
          </w:p>
        </w:tc>
      </w:tr>
    </w:tbl>
    <w:p w14:paraId="1D27E13B" w14:textId="77777777" w:rsidR="00A873F1" w:rsidRDefault="00A873F1" w:rsidP="00D176C0">
      <w:pPr>
        <w:rPr>
          <w:rFonts w:ascii="Times New Roman" w:hAnsi="Times New Roman"/>
          <w:sz w:val="24"/>
          <w:szCs w:val="24"/>
        </w:rPr>
      </w:pPr>
    </w:p>
    <w:tbl>
      <w:tblPr>
        <w:tblStyle w:val="Tabellrutenett"/>
        <w:tblW w:w="9067" w:type="dxa"/>
        <w:tblLayout w:type="fixed"/>
        <w:tblLook w:val="04A0" w:firstRow="1" w:lastRow="0" w:firstColumn="1" w:lastColumn="0" w:noHBand="0" w:noVBand="1"/>
      </w:tblPr>
      <w:tblGrid>
        <w:gridCol w:w="4390"/>
        <w:gridCol w:w="1275"/>
        <w:gridCol w:w="1134"/>
        <w:gridCol w:w="1134"/>
        <w:gridCol w:w="1134"/>
      </w:tblGrid>
      <w:tr w:rsidR="003B36AA" w14:paraId="4571AEA3" w14:textId="77777777" w:rsidTr="003B36AA">
        <w:tc>
          <w:tcPr>
            <w:tcW w:w="4390" w:type="dxa"/>
          </w:tcPr>
          <w:p w14:paraId="1DF85BFE" w14:textId="77777777" w:rsidR="003B36AA" w:rsidRPr="003B36AA" w:rsidRDefault="003B36AA" w:rsidP="003B36AA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  <w:proofErr w:type="spellStart"/>
            <w:r w:rsidRPr="003B36AA">
              <w:rPr>
                <w:rFonts w:ascii="Times New Roman" w:hAnsi="Times New Roman"/>
                <w:sz w:val="24"/>
                <w:szCs w:val="24"/>
                <w:lang w:val="nn-NO"/>
              </w:rPr>
              <w:t>Br.dr.utg</w:t>
            </w:r>
            <w:proofErr w:type="spellEnd"/>
            <w:r w:rsidRPr="003B36AA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. kommunane. Samhandling     </w:t>
            </w:r>
          </w:p>
        </w:tc>
        <w:tc>
          <w:tcPr>
            <w:tcW w:w="1275" w:type="dxa"/>
          </w:tcPr>
          <w:p w14:paraId="5BEDE4A8" w14:textId="77777777" w:rsidR="003B36AA" w:rsidRDefault="003B36AA" w:rsidP="003B36AA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2011</w:t>
            </w:r>
          </w:p>
        </w:tc>
        <w:tc>
          <w:tcPr>
            <w:tcW w:w="1134" w:type="dxa"/>
          </w:tcPr>
          <w:p w14:paraId="5069E283" w14:textId="77777777" w:rsidR="003B36AA" w:rsidRDefault="003B36AA" w:rsidP="003B36AA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2012</w:t>
            </w:r>
          </w:p>
        </w:tc>
        <w:tc>
          <w:tcPr>
            <w:tcW w:w="1134" w:type="dxa"/>
          </w:tcPr>
          <w:p w14:paraId="0923A17F" w14:textId="77777777" w:rsidR="003B36AA" w:rsidRDefault="003B36AA" w:rsidP="003B36AA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2013</w:t>
            </w:r>
          </w:p>
        </w:tc>
        <w:tc>
          <w:tcPr>
            <w:tcW w:w="1134" w:type="dxa"/>
          </w:tcPr>
          <w:p w14:paraId="36F739D0" w14:textId="77777777" w:rsidR="003B36AA" w:rsidRDefault="003B36AA" w:rsidP="003B36AA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2014</w:t>
            </w:r>
          </w:p>
        </w:tc>
      </w:tr>
      <w:tr w:rsidR="003B36AA" w14:paraId="4B30D3CC" w14:textId="77777777" w:rsidTr="003B36AA">
        <w:tc>
          <w:tcPr>
            <w:tcW w:w="4390" w:type="dxa"/>
          </w:tcPr>
          <w:p w14:paraId="35458765" w14:textId="77777777" w:rsidR="003B36AA" w:rsidRDefault="003B36AA" w:rsidP="003B36AA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% - vis auke jamført med førre år</w:t>
            </w:r>
          </w:p>
        </w:tc>
        <w:tc>
          <w:tcPr>
            <w:tcW w:w="1275" w:type="dxa"/>
          </w:tcPr>
          <w:p w14:paraId="476801E9" w14:textId="77777777" w:rsidR="003B36AA" w:rsidRDefault="003B36AA" w:rsidP="003B36AA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  <w:tc>
          <w:tcPr>
            <w:tcW w:w="1134" w:type="dxa"/>
          </w:tcPr>
          <w:p w14:paraId="7C1E27C6" w14:textId="77777777" w:rsidR="003B36AA" w:rsidRDefault="003B36AA" w:rsidP="003B36AA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  <w:tc>
          <w:tcPr>
            <w:tcW w:w="1134" w:type="dxa"/>
          </w:tcPr>
          <w:p w14:paraId="2BE8D8DB" w14:textId="77777777" w:rsidR="003B36AA" w:rsidRDefault="003B36AA" w:rsidP="003B36AA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5,9 %</w:t>
            </w:r>
          </w:p>
        </w:tc>
        <w:tc>
          <w:tcPr>
            <w:tcW w:w="1134" w:type="dxa"/>
          </w:tcPr>
          <w:p w14:paraId="1ED42233" w14:textId="77777777" w:rsidR="003B36AA" w:rsidRDefault="003B36AA" w:rsidP="003B36AA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6,2 %</w:t>
            </w:r>
          </w:p>
        </w:tc>
      </w:tr>
    </w:tbl>
    <w:p w14:paraId="2B3A07B6" w14:textId="77777777" w:rsidR="000F3BB2" w:rsidRDefault="000F3BB2" w:rsidP="00D176C0">
      <w:pPr>
        <w:rPr>
          <w:rFonts w:ascii="Times New Roman" w:hAnsi="Times New Roman"/>
          <w:sz w:val="24"/>
          <w:szCs w:val="24"/>
        </w:rPr>
      </w:pPr>
    </w:p>
    <w:p w14:paraId="6C469958" w14:textId="77777777" w:rsidR="006A48E9" w:rsidRPr="004B426E" w:rsidRDefault="000F3BB2" w:rsidP="00D176C0">
      <w:pPr>
        <w:rPr>
          <w:rFonts w:ascii="Times New Roman" w:hAnsi="Times New Roman"/>
          <w:sz w:val="24"/>
          <w:szCs w:val="24"/>
          <w:lang w:val="nn-NO"/>
        </w:rPr>
      </w:pPr>
      <w:r w:rsidRPr="004B426E">
        <w:rPr>
          <w:rFonts w:ascii="Times New Roman" w:hAnsi="Times New Roman"/>
          <w:sz w:val="24"/>
          <w:szCs w:val="24"/>
          <w:lang w:val="nn-NO"/>
        </w:rPr>
        <w:t>Tabell</w:t>
      </w:r>
      <w:r w:rsidR="00635FC5" w:rsidRPr="004B426E">
        <w:rPr>
          <w:rFonts w:ascii="Times New Roman" w:hAnsi="Times New Roman"/>
          <w:sz w:val="24"/>
          <w:szCs w:val="24"/>
          <w:lang w:val="nn-NO"/>
        </w:rPr>
        <w:t xml:space="preserve"> 1 viser at budsjettert vekst i spesialisthelsetenesta frå 2013 til 2016 har vore mellom 5,7 og 6,9 %. </w:t>
      </w:r>
    </w:p>
    <w:p w14:paraId="6B75C911" w14:textId="77777777" w:rsidR="00635FC5" w:rsidRPr="004B426E" w:rsidRDefault="00635FC5" w:rsidP="00D176C0">
      <w:pPr>
        <w:rPr>
          <w:rFonts w:ascii="Times New Roman" w:hAnsi="Times New Roman"/>
          <w:sz w:val="24"/>
          <w:szCs w:val="24"/>
          <w:lang w:val="nn-NO"/>
        </w:rPr>
      </w:pPr>
      <w:r w:rsidRPr="004B426E">
        <w:rPr>
          <w:rFonts w:ascii="Times New Roman" w:hAnsi="Times New Roman"/>
          <w:sz w:val="24"/>
          <w:szCs w:val="24"/>
          <w:lang w:val="nn-NO"/>
        </w:rPr>
        <w:t>Tab</w:t>
      </w:r>
      <w:r w:rsidR="00864E22" w:rsidRPr="004B426E">
        <w:rPr>
          <w:rFonts w:ascii="Times New Roman" w:hAnsi="Times New Roman"/>
          <w:sz w:val="24"/>
          <w:szCs w:val="24"/>
          <w:lang w:val="nn-NO"/>
        </w:rPr>
        <w:t>ell 2.1 viser at budsjetter</w:t>
      </w:r>
      <w:r w:rsidR="004B426E" w:rsidRPr="004B426E">
        <w:rPr>
          <w:rFonts w:ascii="Times New Roman" w:hAnsi="Times New Roman"/>
          <w:sz w:val="24"/>
          <w:szCs w:val="24"/>
          <w:lang w:val="nn-NO"/>
        </w:rPr>
        <w:t>t</w:t>
      </w:r>
      <w:r w:rsidR="00864E22" w:rsidRPr="004B426E">
        <w:rPr>
          <w:rFonts w:ascii="Times New Roman" w:hAnsi="Times New Roman"/>
          <w:sz w:val="24"/>
          <w:szCs w:val="24"/>
          <w:lang w:val="nn-NO"/>
        </w:rPr>
        <w:t xml:space="preserve"> vekst</w:t>
      </w:r>
      <w:r w:rsidRPr="004B426E">
        <w:rPr>
          <w:rFonts w:ascii="Times New Roman" w:hAnsi="Times New Roman"/>
          <w:sz w:val="24"/>
          <w:szCs w:val="24"/>
          <w:lang w:val="nn-NO"/>
        </w:rPr>
        <w:t xml:space="preserve"> i frie inntekter til kommunane i same periode har variert mellom 4,1 og 4,8 %.</w:t>
      </w:r>
      <w:r w:rsidR="00322EB2" w:rsidRPr="004B426E">
        <w:rPr>
          <w:rFonts w:ascii="Times New Roman" w:hAnsi="Times New Roman"/>
          <w:sz w:val="24"/>
          <w:szCs w:val="24"/>
          <w:lang w:val="nn-NO"/>
        </w:rPr>
        <w:t xml:space="preserve"> </w:t>
      </w:r>
    </w:p>
    <w:p w14:paraId="20AF7402" w14:textId="77777777" w:rsidR="00317D6C" w:rsidRPr="004B426E" w:rsidRDefault="00317D6C" w:rsidP="00D176C0">
      <w:pPr>
        <w:rPr>
          <w:rFonts w:ascii="Times New Roman" w:hAnsi="Times New Roman"/>
          <w:sz w:val="24"/>
          <w:szCs w:val="24"/>
          <w:lang w:val="nn-NO"/>
        </w:rPr>
      </w:pPr>
      <w:r w:rsidRPr="004B426E">
        <w:rPr>
          <w:rFonts w:ascii="Times New Roman" w:hAnsi="Times New Roman"/>
          <w:sz w:val="24"/>
          <w:szCs w:val="24"/>
          <w:lang w:val="nn-NO"/>
        </w:rPr>
        <w:t xml:space="preserve">Rekneskapstala for 2012 til 2014 viser at </w:t>
      </w:r>
      <w:r w:rsidR="004B426E" w:rsidRPr="004B426E">
        <w:rPr>
          <w:rFonts w:ascii="Times New Roman" w:hAnsi="Times New Roman"/>
          <w:sz w:val="24"/>
          <w:szCs w:val="24"/>
          <w:lang w:val="nn-NO"/>
        </w:rPr>
        <w:t xml:space="preserve">kommunal prioritering av kommunehelsetenesta og pleie- og omsorgstenestene innom disponible rammer har delvis kompensert for manglande sentral prioritering. </w:t>
      </w:r>
    </w:p>
    <w:p w14:paraId="06023AAF" w14:textId="77777777" w:rsidR="00317D6C" w:rsidRPr="004B426E" w:rsidRDefault="00317D6C" w:rsidP="00D176C0">
      <w:pPr>
        <w:rPr>
          <w:rFonts w:ascii="Times New Roman" w:hAnsi="Times New Roman"/>
          <w:sz w:val="24"/>
          <w:szCs w:val="24"/>
          <w:lang w:val="nn-NO"/>
        </w:rPr>
      </w:pPr>
      <w:r w:rsidRPr="004B426E">
        <w:rPr>
          <w:rFonts w:ascii="Times New Roman" w:hAnsi="Times New Roman"/>
          <w:sz w:val="24"/>
          <w:szCs w:val="24"/>
          <w:lang w:val="nn-NO"/>
        </w:rPr>
        <w:t xml:space="preserve">Veksten i kommunehelsetenesta har vore høgare enn veksten i spesialisthelsetenesta både i 2013 (6,7 %) og 2014. (8 %) </w:t>
      </w:r>
      <w:r w:rsidR="009503CA" w:rsidRPr="004B426E">
        <w:rPr>
          <w:rFonts w:ascii="Times New Roman" w:hAnsi="Times New Roman"/>
          <w:sz w:val="24"/>
          <w:szCs w:val="24"/>
          <w:lang w:val="nn-NO"/>
        </w:rPr>
        <w:t xml:space="preserve">I pleie og omsorgssektoren var veksten lågare enn veksten i spesialisthelsetenesta i 2013 (4,7), men høgare i 2014. (6,8 %) </w:t>
      </w:r>
    </w:p>
    <w:p w14:paraId="1E9209C4" w14:textId="77777777" w:rsidR="000F3BB2" w:rsidRDefault="000F3BB2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14:paraId="638D74E6" w14:textId="77777777" w:rsidR="000F3BB2" w:rsidRPr="000F3BB2" w:rsidRDefault="0039686B" w:rsidP="000F3BB2">
      <w:pPr>
        <w:rPr>
          <w:rFonts w:ascii="Times New Roman" w:hAnsi="Times New Roman"/>
          <w:b/>
          <w:sz w:val="28"/>
          <w:szCs w:val="28"/>
        </w:rPr>
      </w:pPr>
      <w:r w:rsidRPr="000F3BB2">
        <w:rPr>
          <w:rFonts w:ascii="Times New Roman" w:hAnsi="Times New Roman"/>
          <w:b/>
          <w:sz w:val="28"/>
          <w:szCs w:val="28"/>
        </w:rPr>
        <w:t>«Veksten i legetjenestene</w:t>
      </w:r>
      <w:r w:rsidR="007B36CE" w:rsidRPr="000F3BB2">
        <w:rPr>
          <w:rFonts w:ascii="Times New Roman" w:hAnsi="Times New Roman"/>
          <w:b/>
          <w:sz w:val="28"/>
          <w:szCs w:val="28"/>
        </w:rPr>
        <w:t xml:space="preserve"> i årene fremover skal i </w:t>
      </w:r>
      <w:proofErr w:type="spellStart"/>
      <w:r w:rsidR="007B36CE" w:rsidRPr="000F3BB2">
        <w:rPr>
          <w:rFonts w:ascii="Times New Roman" w:hAnsi="Times New Roman"/>
          <w:b/>
          <w:sz w:val="28"/>
          <w:szCs w:val="28"/>
        </w:rPr>
        <w:t>hovudsak</w:t>
      </w:r>
      <w:proofErr w:type="spellEnd"/>
      <w:r w:rsidR="007B36CE" w:rsidRPr="000F3BB2">
        <w:rPr>
          <w:rFonts w:ascii="Times New Roman" w:hAnsi="Times New Roman"/>
          <w:b/>
          <w:sz w:val="28"/>
          <w:szCs w:val="28"/>
        </w:rPr>
        <w:t xml:space="preserve"> komme i kommunene»</w:t>
      </w:r>
      <w:r w:rsidR="00E24B59" w:rsidRPr="000F3BB2">
        <w:rPr>
          <w:rFonts w:ascii="Times New Roman" w:hAnsi="Times New Roman"/>
          <w:b/>
          <w:sz w:val="28"/>
          <w:szCs w:val="28"/>
        </w:rPr>
        <w:t xml:space="preserve"> </w:t>
      </w:r>
    </w:p>
    <w:p w14:paraId="44CA8D72" w14:textId="77777777" w:rsidR="007B36CE" w:rsidRDefault="007B36CE" w:rsidP="007B36CE">
      <w:pPr>
        <w:pStyle w:val="Listeavsnitt"/>
        <w:ind w:left="360"/>
        <w:rPr>
          <w:rFonts w:ascii="Times New Roman" w:hAnsi="Times New Roman"/>
          <w:b/>
          <w:sz w:val="28"/>
          <w:szCs w:val="28"/>
        </w:rPr>
      </w:pP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1497"/>
        <w:gridCol w:w="2844"/>
        <w:gridCol w:w="961"/>
        <w:gridCol w:w="2410"/>
        <w:gridCol w:w="990"/>
      </w:tblGrid>
      <w:tr w:rsidR="007B36CE" w:rsidRPr="007B36CE" w14:paraId="61ECD787" w14:textId="77777777" w:rsidTr="000F3BB2">
        <w:tc>
          <w:tcPr>
            <w:tcW w:w="1497" w:type="dxa"/>
          </w:tcPr>
          <w:p w14:paraId="29A12BDA" w14:textId="77777777" w:rsidR="007B36CE" w:rsidRPr="007B36CE" w:rsidRDefault="007B36CE" w:rsidP="007B36CE">
            <w:pPr>
              <w:pStyle w:val="Listeavsnitt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36CE">
              <w:rPr>
                <w:rFonts w:ascii="Times New Roman" w:hAnsi="Times New Roman"/>
                <w:sz w:val="24"/>
                <w:szCs w:val="24"/>
              </w:rPr>
              <w:t>Årstal</w:t>
            </w:r>
            <w:proofErr w:type="spellEnd"/>
          </w:p>
        </w:tc>
        <w:tc>
          <w:tcPr>
            <w:tcW w:w="2844" w:type="dxa"/>
          </w:tcPr>
          <w:p w14:paraId="271C1114" w14:textId="77777777" w:rsidR="007B36CE" w:rsidRPr="007B36CE" w:rsidRDefault="007B36CE" w:rsidP="007B36CE">
            <w:pPr>
              <w:pStyle w:val="Listeavsnitt"/>
              <w:ind w:left="0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7B36CE">
              <w:rPr>
                <w:rFonts w:ascii="Times New Roman" w:hAnsi="Times New Roman"/>
                <w:sz w:val="24"/>
                <w:szCs w:val="24"/>
                <w:lang w:val="nn-NO"/>
              </w:rPr>
              <w:t>Tal årsverk, legar i kommunehelsetenesta</w:t>
            </w:r>
          </w:p>
        </w:tc>
        <w:tc>
          <w:tcPr>
            <w:tcW w:w="961" w:type="dxa"/>
          </w:tcPr>
          <w:p w14:paraId="7AC7FFA8" w14:textId="77777777" w:rsidR="007B36CE" w:rsidRPr="007B36CE" w:rsidRDefault="007B36CE" w:rsidP="007B36CE">
            <w:pPr>
              <w:pStyle w:val="Listeavsnitt"/>
              <w:ind w:left="0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7B36CE">
              <w:rPr>
                <w:rFonts w:ascii="Times New Roman" w:hAnsi="Times New Roman"/>
                <w:sz w:val="24"/>
                <w:szCs w:val="24"/>
                <w:lang w:val="nn-NO"/>
              </w:rPr>
              <w:t>%-vis</w:t>
            </w:r>
          </w:p>
          <w:p w14:paraId="65A7D69A" w14:textId="77777777" w:rsidR="007B36CE" w:rsidRPr="007B36CE" w:rsidRDefault="007B36CE" w:rsidP="007B36CE">
            <w:pPr>
              <w:pStyle w:val="Listeavsnitt"/>
              <w:ind w:left="0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7B36CE">
              <w:rPr>
                <w:rFonts w:ascii="Times New Roman" w:hAnsi="Times New Roman"/>
                <w:sz w:val="24"/>
                <w:szCs w:val="24"/>
                <w:lang w:val="nn-NO"/>
              </w:rPr>
              <w:t>endring</w:t>
            </w:r>
          </w:p>
        </w:tc>
        <w:tc>
          <w:tcPr>
            <w:tcW w:w="2410" w:type="dxa"/>
          </w:tcPr>
          <w:p w14:paraId="72E0B479" w14:textId="77777777" w:rsidR="007B36CE" w:rsidRPr="007B36CE" w:rsidRDefault="007B36CE" w:rsidP="007B36CE">
            <w:pPr>
              <w:pStyle w:val="Listeavsnitt"/>
              <w:ind w:left="0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7B36CE">
              <w:rPr>
                <w:rFonts w:ascii="Times New Roman" w:hAnsi="Times New Roman"/>
                <w:sz w:val="24"/>
                <w:szCs w:val="24"/>
                <w:lang w:val="nn-NO"/>
              </w:rPr>
              <w:t>Tal årsverk</w:t>
            </w:r>
            <w:r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legar i </w:t>
            </w:r>
          </w:p>
          <w:p w14:paraId="317880B1" w14:textId="77777777" w:rsidR="007B36CE" w:rsidRPr="007B36CE" w:rsidRDefault="009503CA" w:rsidP="007B36CE">
            <w:pPr>
              <w:pStyle w:val="Listeavsnitt"/>
              <w:ind w:left="0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S</w:t>
            </w:r>
            <w:r w:rsidR="007B36CE">
              <w:rPr>
                <w:rFonts w:ascii="Times New Roman" w:hAnsi="Times New Roman"/>
                <w:sz w:val="24"/>
                <w:szCs w:val="24"/>
                <w:lang w:val="nn-NO"/>
              </w:rPr>
              <w:t>pesialisthelsetenesta</w:t>
            </w:r>
          </w:p>
        </w:tc>
        <w:tc>
          <w:tcPr>
            <w:tcW w:w="990" w:type="dxa"/>
          </w:tcPr>
          <w:p w14:paraId="76EDCE27" w14:textId="77777777" w:rsidR="007B36CE" w:rsidRPr="007B36CE" w:rsidRDefault="007B36CE" w:rsidP="007B36CE">
            <w:pPr>
              <w:pStyle w:val="Listeavsnitt"/>
              <w:ind w:left="0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7B36CE">
              <w:rPr>
                <w:rFonts w:ascii="Times New Roman" w:hAnsi="Times New Roman"/>
                <w:sz w:val="24"/>
                <w:szCs w:val="24"/>
                <w:lang w:val="nn-NO"/>
              </w:rPr>
              <w:t>% vis</w:t>
            </w:r>
          </w:p>
          <w:p w14:paraId="1C0AB5CA" w14:textId="77777777" w:rsidR="007B36CE" w:rsidRPr="007B36CE" w:rsidRDefault="00FB1F7A" w:rsidP="007B36CE">
            <w:pPr>
              <w:pStyle w:val="Listeavsnitt"/>
              <w:ind w:left="0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7B36CE">
              <w:rPr>
                <w:rFonts w:ascii="Times New Roman" w:hAnsi="Times New Roman"/>
                <w:sz w:val="24"/>
                <w:szCs w:val="24"/>
                <w:lang w:val="nn-NO"/>
              </w:rPr>
              <w:t>E</w:t>
            </w:r>
            <w:r w:rsidR="007B36CE" w:rsidRPr="007B36CE">
              <w:rPr>
                <w:rFonts w:ascii="Times New Roman" w:hAnsi="Times New Roman"/>
                <w:sz w:val="24"/>
                <w:szCs w:val="24"/>
                <w:lang w:val="nn-NO"/>
              </w:rPr>
              <w:t>ndring</w:t>
            </w:r>
          </w:p>
        </w:tc>
      </w:tr>
      <w:tr w:rsidR="00A14501" w:rsidRPr="007B36CE" w14:paraId="56592BE5" w14:textId="77777777" w:rsidTr="000F3BB2">
        <w:tc>
          <w:tcPr>
            <w:tcW w:w="1497" w:type="dxa"/>
          </w:tcPr>
          <w:p w14:paraId="56154B61" w14:textId="77777777" w:rsidR="00A14501" w:rsidRPr="007B36CE" w:rsidRDefault="00A14501" w:rsidP="00A14501">
            <w:pPr>
              <w:pStyle w:val="Listeavsnitt"/>
              <w:ind w:left="0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7B36CE">
              <w:rPr>
                <w:rFonts w:ascii="Times New Roman" w:hAnsi="Times New Roman"/>
                <w:sz w:val="24"/>
                <w:szCs w:val="24"/>
                <w:lang w:val="nn-NO"/>
              </w:rPr>
              <w:t>2011</w:t>
            </w:r>
          </w:p>
        </w:tc>
        <w:tc>
          <w:tcPr>
            <w:tcW w:w="2844" w:type="dxa"/>
          </w:tcPr>
          <w:p w14:paraId="09F9B350" w14:textId="77777777" w:rsidR="00A14501" w:rsidRPr="007B36CE" w:rsidRDefault="00A14501" w:rsidP="00A14501">
            <w:pPr>
              <w:pStyle w:val="Listeavsnitt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4 837</w:t>
            </w:r>
          </w:p>
        </w:tc>
        <w:tc>
          <w:tcPr>
            <w:tcW w:w="961" w:type="dxa"/>
          </w:tcPr>
          <w:p w14:paraId="4B60CD31" w14:textId="77777777" w:rsidR="00A14501" w:rsidRPr="007B36CE" w:rsidRDefault="00A14501" w:rsidP="00A14501">
            <w:pPr>
              <w:pStyle w:val="Listeavsnitt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1,9 %</w:t>
            </w:r>
          </w:p>
        </w:tc>
        <w:tc>
          <w:tcPr>
            <w:tcW w:w="2410" w:type="dxa"/>
          </w:tcPr>
          <w:p w14:paraId="5BACB56E" w14:textId="77777777" w:rsidR="00A14501" w:rsidRPr="007B36CE" w:rsidRDefault="00A14501" w:rsidP="00A14501">
            <w:pPr>
              <w:pStyle w:val="Listeavsnitt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13 704</w:t>
            </w:r>
          </w:p>
        </w:tc>
        <w:tc>
          <w:tcPr>
            <w:tcW w:w="990" w:type="dxa"/>
          </w:tcPr>
          <w:p w14:paraId="0BB914A1" w14:textId="77777777" w:rsidR="00A14501" w:rsidRPr="007B36CE" w:rsidRDefault="00A14501" w:rsidP="00A14501">
            <w:pPr>
              <w:pStyle w:val="Listeavsnitt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4,2 %</w:t>
            </w:r>
          </w:p>
        </w:tc>
      </w:tr>
      <w:tr w:rsidR="00A14501" w:rsidRPr="007B36CE" w14:paraId="28E1B874" w14:textId="77777777" w:rsidTr="000F3BB2">
        <w:tc>
          <w:tcPr>
            <w:tcW w:w="1497" w:type="dxa"/>
          </w:tcPr>
          <w:p w14:paraId="35F5CE01" w14:textId="77777777" w:rsidR="00A14501" w:rsidRPr="007B36CE" w:rsidRDefault="00A14501" w:rsidP="00A14501">
            <w:pPr>
              <w:pStyle w:val="Listeavsnitt"/>
              <w:ind w:left="0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2012</w:t>
            </w:r>
          </w:p>
        </w:tc>
        <w:tc>
          <w:tcPr>
            <w:tcW w:w="2844" w:type="dxa"/>
          </w:tcPr>
          <w:p w14:paraId="31ECBFBA" w14:textId="77777777" w:rsidR="00A14501" w:rsidRPr="007B36CE" w:rsidRDefault="006546DA" w:rsidP="00A14501">
            <w:pPr>
              <w:pStyle w:val="Listeavsnitt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5020 (+183</w:t>
            </w:r>
            <w:r w:rsidR="00A14501">
              <w:rPr>
                <w:rFonts w:ascii="Times New Roman" w:hAnsi="Times New Roman"/>
                <w:sz w:val="24"/>
                <w:szCs w:val="24"/>
                <w:lang w:val="nn-NO"/>
              </w:rPr>
              <w:t>)</w:t>
            </w:r>
          </w:p>
        </w:tc>
        <w:tc>
          <w:tcPr>
            <w:tcW w:w="961" w:type="dxa"/>
          </w:tcPr>
          <w:p w14:paraId="6284015C" w14:textId="77777777" w:rsidR="00A14501" w:rsidRPr="007B36CE" w:rsidRDefault="00A14501" w:rsidP="00A14501">
            <w:pPr>
              <w:pStyle w:val="Listeavsnitt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3,8 %</w:t>
            </w:r>
          </w:p>
        </w:tc>
        <w:tc>
          <w:tcPr>
            <w:tcW w:w="2410" w:type="dxa"/>
          </w:tcPr>
          <w:p w14:paraId="7D350880" w14:textId="77777777" w:rsidR="00A14501" w:rsidRPr="007B36CE" w:rsidRDefault="00251827" w:rsidP="00A14501">
            <w:pPr>
              <w:pStyle w:val="Listeavsnitt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14 088 (</w:t>
            </w:r>
            <w:r w:rsidR="00A14501">
              <w:rPr>
                <w:rFonts w:ascii="Times New Roman" w:hAnsi="Times New Roman"/>
                <w:sz w:val="24"/>
                <w:szCs w:val="24"/>
                <w:lang w:val="nn-NO"/>
              </w:rPr>
              <w:t>384)</w:t>
            </w:r>
          </w:p>
        </w:tc>
        <w:tc>
          <w:tcPr>
            <w:tcW w:w="990" w:type="dxa"/>
          </w:tcPr>
          <w:p w14:paraId="76940DC8" w14:textId="77777777" w:rsidR="00A14501" w:rsidRPr="007B36CE" w:rsidRDefault="00A14501" w:rsidP="00A14501">
            <w:pPr>
              <w:pStyle w:val="Listeavsnitt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2,8</w:t>
            </w:r>
            <w:r w:rsidR="005813D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%</w:t>
            </w:r>
          </w:p>
        </w:tc>
      </w:tr>
      <w:tr w:rsidR="00A14501" w:rsidRPr="007B36CE" w14:paraId="4E166165" w14:textId="77777777" w:rsidTr="000F3BB2">
        <w:tc>
          <w:tcPr>
            <w:tcW w:w="1497" w:type="dxa"/>
          </w:tcPr>
          <w:p w14:paraId="766E0B49" w14:textId="77777777" w:rsidR="00A14501" w:rsidRPr="007B36CE" w:rsidRDefault="00A14501" w:rsidP="00A14501">
            <w:pPr>
              <w:pStyle w:val="Listeavsnitt"/>
              <w:ind w:left="0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2013</w:t>
            </w:r>
          </w:p>
        </w:tc>
        <w:tc>
          <w:tcPr>
            <w:tcW w:w="2844" w:type="dxa"/>
          </w:tcPr>
          <w:p w14:paraId="76B3E4DB" w14:textId="77777777" w:rsidR="00A14501" w:rsidRPr="007B36CE" w:rsidRDefault="006546DA" w:rsidP="006546DA">
            <w:pPr>
              <w:pStyle w:val="Listeavsnitt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5 187 (+167)</w:t>
            </w:r>
          </w:p>
        </w:tc>
        <w:tc>
          <w:tcPr>
            <w:tcW w:w="961" w:type="dxa"/>
          </w:tcPr>
          <w:p w14:paraId="6E5F90C7" w14:textId="77777777" w:rsidR="00A14501" w:rsidRPr="007B36CE" w:rsidRDefault="006546DA" w:rsidP="00A14501">
            <w:pPr>
              <w:pStyle w:val="Listeavsnitt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3,3 %</w:t>
            </w:r>
          </w:p>
        </w:tc>
        <w:tc>
          <w:tcPr>
            <w:tcW w:w="2410" w:type="dxa"/>
          </w:tcPr>
          <w:p w14:paraId="63421FCC" w14:textId="77777777" w:rsidR="00A14501" w:rsidRPr="007B36CE" w:rsidRDefault="005813D3" w:rsidP="00A14501">
            <w:pPr>
              <w:pStyle w:val="Listeavsnitt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14 467 (375)</w:t>
            </w:r>
          </w:p>
        </w:tc>
        <w:tc>
          <w:tcPr>
            <w:tcW w:w="990" w:type="dxa"/>
          </w:tcPr>
          <w:p w14:paraId="7ACAB889" w14:textId="77777777" w:rsidR="00A14501" w:rsidRPr="007B36CE" w:rsidRDefault="005813D3" w:rsidP="00A14501">
            <w:pPr>
              <w:pStyle w:val="Listeavsnitt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2,7 %</w:t>
            </w:r>
          </w:p>
        </w:tc>
      </w:tr>
      <w:tr w:rsidR="00A14501" w:rsidRPr="007B36CE" w14:paraId="75B0804E" w14:textId="77777777" w:rsidTr="000F3BB2">
        <w:tc>
          <w:tcPr>
            <w:tcW w:w="1497" w:type="dxa"/>
          </w:tcPr>
          <w:p w14:paraId="4BA342D2" w14:textId="77777777" w:rsidR="00A14501" w:rsidRPr="007B36CE" w:rsidRDefault="00A14501" w:rsidP="00A14501">
            <w:pPr>
              <w:pStyle w:val="Listeavsnitt"/>
              <w:ind w:left="0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2014</w:t>
            </w:r>
          </w:p>
        </w:tc>
        <w:tc>
          <w:tcPr>
            <w:tcW w:w="2844" w:type="dxa"/>
          </w:tcPr>
          <w:p w14:paraId="5147580A" w14:textId="77777777" w:rsidR="00A14501" w:rsidRPr="007B36CE" w:rsidRDefault="006546DA" w:rsidP="00A14501">
            <w:pPr>
              <w:pStyle w:val="Listeavsnitt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5 325 (+138)</w:t>
            </w:r>
          </w:p>
        </w:tc>
        <w:tc>
          <w:tcPr>
            <w:tcW w:w="961" w:type="dxa"/>
          </w:tcPr>
          <w:p w14:paraId="39096B19" w14:textId="77777777" w:rsidR="00A14501" w:rsidRPr="007B36CE" w:rsidRDefault="006546DA" w:rsidP="00A14501">
            <w:pPr>
              <w:pStyle w:val="Listeavsnitt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2,6 %</w:t>
            </w:r>
          </w:p>
        </w:tc>
        <w:tc>
          <w:tcPr>
            <w:tcW w:w="2410" w:type="dxa"/>
          </w:tcPr>
          <w:p w14:paraId="395E7466" w14:textId="77777777" w:rsidR="00A14501" w:rsidRPr="007B36CE" w:rsidRDefault="005813D3" w:rsidP="00A14501">
            <w:pPr>
              <w:pStyle w:val="Listeavsnitt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15 059 (592)</w:t>
            </w:r>
          </w:p>
        </w:tc>
        <w:tc>
          <w:tcPr>
            <w:tcW w:w="990" w:type="dxa"/>
          </w:tcPr>
          <w:p w14:paraId="77A4507B" w14:textId="77777777" w:rsidR="00A14501" w:rsidRPr="007B36CE" w:rsidRDefault="005813D3" w:rsidP="00A14501">
            <w:pPr>
              <w:pStyle w:val="Listeavsnitt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4,1 %</w:t>
            </w:r>
          </w:p>
        </w:tc>
      </w:tr>
    </w:tbl>
    <w:p w14:paraId="0F3739D5" w14:textId="77777777" w:rsidR="000F3BB2" w:rsidRDefault="000F3BB2" w:rsidP="000F3BB2">
      <w:pPr>
        <w:pStyle w:val="Listeavsnitt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sz w:val="24"/>
          <w:szCs w:val="24"/>
        </w:rPr>
        <w:t xml:space="preserve">Kjelde: </w:t>
      </w:r>
      <w:proofErr w:type="spellStart"/>
      <w:r>
        <w:rPr>
          <w:rFonts w:ascii="Times New Roman" w:hAnsi="Times New Roman"/>
          <w:sz w:val="24"/>
          <w:szCs w:val="24"/>
        </w:rPr>
        <w:t>Prop</w:t>
      </w:r>
      <w:proofErr w:type="spellEnd"/>
      <w:r>
        <w:rPr>
          <w:rFonts w:ascii="Times New Roman" w:hAnsi="Times New Roman"/>
          <w:sz w:val="24"/>
          <w:szCs w:val="24"/>
        </w:rPr>
        <w:t xml:space="preserve"> 1 S Helse og </w:t>
      </w:r>
      <w:proofErr w:type="spellStart"/>
      <w:r>
        <w:rPr>
          <w:rFonts w:ascii="Times New Roman" w:hAnsi="Times New Roman"/>
          <w:sz w:val="24"/>
          <w:szCs w:val="24"/>
        </w:rPr>
        <w:t>omsorgsdept</w:t>
      </w:r>
      <w:proofErr w:type="spellEnd"/>
      <w:r>
        <w:rPr>
          <w:rFonts w:ascii="Times New Roman" w:hAnsi="Times New Roman"/>
          <w:sz w:val="24"/>
          <w:szCs w:val="24"/>
        </w:rPr>
        <w:t>. Personell (</w:t>
      </w:r>
      <w:proofErr w:type="spellStart"/>
      <w:r>
        <w:rPr>
          <w:rFonts w:ascii="Times New Roman" w:hAnsi="Times New Roman"/>
          <w:sz w:val="24"/>
          <w:szCs w:val="24"/>
        </w:rPr>
        <w:t>kommunane</w:t>
      </w:r>
      <w:proofErr w:type="spellEnd"/>
      <w:r>
        <w:rPr>
          <w:rFonts w:ascii="Times New Roman" w:hAnsi="Times New Roman"/>
          <w:sz w:val="24"/>
          <w:szCs w:val="24"/>
        </w:rPr>
        <w:t xml:space="preserve">) SSB Utvikling, årsverk </w:t>
      </w:r>
      <w:proofErr w:type="spellStart"/>
      <w:r>
        <w:rPr>
          <w:rFonts w:ascii="Times New Roman" w:hAnsi="Times New Roman"/>
          <w:sz w:val="24"/>
          <w:szCs w:val="24"/>
        </w:rPr>
        <w:t>legar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spesialisthelsetenesta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54B25FD8" w14:textId="77777777" w:rsidR="00B52F7C" w:rsidRDefault="00A14501" w:rsidP="00A14501">
      <w:pPr>
        <w:rPr>
          <w:rFonts w:ascii="Times New Roman" w:hAnsi="Times New Roman"/>
          <w:sz w:val="24"/>
          <w:szCs w:val="24"/>
          <w:lang w:val="nn-NO"/>
        </w:rPr>
      </w:pPr>
      <w:r w:rsidRPr="00A14501">
        <w:rPr>
          <w:rFonts w:ascii="Times New Roman" w:hAnsi="Times New Roman"/>
          <w:sz w:val="24"/>
          <w:szCs w:val="24"/>
          <w:lang w:val="nn-NO"/>
        </w:rPr>
        <w:lastRenderedPageBreak/>
        <w:t xml:space="preserve">Ser </w:t>
      </w:r>
      <w:r w:rsidR="000F3BB2">
        <w:rPr>
          <w:rFonts w:ascii="Times New Roman" w:hAnsi="Times New Roman"/>
          <w:sz w:val="24"/>
          <w:szCs w:val="24"/>
          <w:lang w:val="nn-NO"/>
        </w:rPr>
        <w:t>me</w:t>
      </w:r>
      <w:r w:rsidRPr="00A14501">
        <w:rPr>
          <w:rFonts w:ascii="Times New Roman" w:hAnsi="Times New Roman"/>
          <w:sz w:val="24"/>
          <w:szCs w:val="24"/>
          <w:lang w:val="nn-NO"/>
        </w:rPr>
        <w:t xml:space="preserve"> på utvikli</w:t>
      </w:r>
      <w:r w:rsidR="000F3BB2">
        <w:rPr>
          <w:rFonts w:ascii="Times New Roman" w:hAnsi="Times New Roman"/>
          <w:sz w:val="24"/>
          <w:szCs w:val="24"/>
          <w:lang w:val="nn-NO"/>
        </w:rPr>
        <w:t>n</w:t>
      </w:r>
      <w:r w:rsidRPr="00A14501">
        <w:rPr>
          <w:rFonts w:ascii="Times New Roman" w:hAnsi="Times New Roman"/>
          <w:sz w:val="24"/>
          <w:szCs w:val="24"/>
          <w:lang w:val="nn-NO"/>
        </w:rPr>
        <w:t>ga i tal legar frå 2</w:t>
      </w:r>
      <w:r>
        <w:rPr>
          <w:rFonts w:ascii="Times New Roman" w:hAnsi="Times New Roman"/>
          <w:sz w:val="24"/>
          <w:szCs w:val="24"/>
          <w:lang w:val="nn-NO"/>
        </w:rPr>
        <w:t>002 – 2012 auka årsverk i allmennlegetenesta med 869 årsverk, (20,9%)</w:t>
      </w:r>
      <w:r w:rsidR="00B52F7C">
        <w:rPr>
          <w:rFonts w:ascii="Times New Roman" w:hAnsi="Times New Roman"/>
          <w:sz w:val="24"/>
          <w:szCs w:val="24"/>
          <w:lang w:val="nn-NO"/>
        </w:rPr>
        <w:t>.</w:t>
      </w:r>
      <w:r>
        <w:rPr>
          <w:rFonts w:ascii="Times New Roman" w:hAnsi="Times New Roman"/>
          <w:sz w:val="24"/>
          <w:szCs w:val="24"/>
          <w:lang w:val="nn-NO"/>
        </w:rPr>
        <w:t xml:space="preserve"> Til samanlikning auka talet legeårsverk i spesialisthelsetenesta</w:t>
      </w:r>
      <w:r w:rsidR="00B52F7C">
        <w:rPr>
          <w:rFonts w:ascii="Times New Roman" w:hAnsi="Times New Roman"/>
          <w:sz w:val="24"/>
          <w:szCs w:val="24"/>
          <w:lang w:val="nn-NO"/>
        </w:rPr>
        <w:t xml:space="preserve"> med 41,5 %. </w:t>
      </w:r>
    </w:p>
    <w:p w14:paraId="5A13B589" w14:textId="77777777" w:rsidR="007B36CE" w:rsidRDefault="000F3BB2" w:rsidP="00A14501">
      <w:pPr>
        <w:rPr>
          <w:rFonts w:ascii="Times New Roman" w:hAnsi="Times New Roman"/>
          <w:sz w:val="24"/>
          <w:szCs w:val="24"/>
          <w:lang w:val="nn-NO"/>
        </w:rPr>
      </w:pPr>
      <w:r>
        <w:rPr>
          <w:rFonts w:ascii="Times New Roman" w:hAnsi="Times New Roman"/>
          <w:sz w:val="24"/>
          <w:szCs w:val="24"/>
          <w:lang w:val="nn-NO"/>
        </w:rPr>
        <w:t>Ser me</w:t>
      </w:r>
      <w:r w:rsidR="00A14501">
        <w:rPr>
          <w:rFonts w:ascii="Times New Roman" w:hAnsi="Times New Roman"/>
          <w:sz w:val="24"/>
          <w:szCs w:val="24"/>
          <w:lang w:val="nn-NO"/>
        </w:rPr>
        <w:t xml:space="preserve"> på perioden dei siste 4 åra før Samhandlingsreforma vart innført, 2008 – 2011, viser tala 6,7 % auke i kommunane og 13,6 % auke i spesialisthelsetenesta.</w:t>
      </w:r>
    </w:p>
    <w:p w14:paraId="41284154" w14:textId="77777777" w:rsidR="0004451D" w:rsidRDefault="00B52F7C" w:rsidP="0044293D">
      <w:pPr>
        <w:rPr>
          <w:rFonts w:ascii="Times New Roman" w:hAnsi="Times New Roman"/>
          <w:sz w:val="24"/>
          <w:szCs w:val="24"/>
          <w:lang w:val="nn-NO"/>
        </w:rPr>
      </w:pPr>
      <w:r>
        <w:rPr>
          <w:rFonts w:ascii="Times New Roman" w:hAnsi="Times New Roman"/>
          <w:sz w:val="24"/>
          <w:szCs w:val="24"/>
          <w:lang w:val="nn-NO"/>
        </w:rPr>
        <w:t xml:space="preserve">I perioden 2012 – 2014 er det oppretta 488 nye legestillingar i kommunane. I same periode er det oppretta 1351 nye legestillingar i spesialisthelsetenesta. Dette til tross for at </w:t>
      </w:r>
      <w:r w:rsidR="0004451D">
        <w:rPr>
          <w:rFonts w:ascii="Times New Roman" w:hAnsi="Times New Roman"/>
          <w:sz w:val="24"/>
          <w:szCs w:val="24"/>
          <w:lang w:val="nn-NO"/>
        </w:rPr>
        <w:t xml:space="preserve">omfattande </w:t>
      </w:r>
      <w:r>
        <w:rPr>
          <w:rFonts w:ascii="Times New Roman" w:hAnsi="Times New Roman"/>
          <w:sz w:val="24"/>
          <w:szCs w:val="24"/>
          <w:lang w:val="nn-NO"/>
        </w:rPr>
        <w:t xml:space="preserve">oppgåver som krev nye legestillingar er flytta frå spesialisthelsetenesta til kommunane. </w:t>
      </w:r>
      <w:r w:rsidR="0004451D">
        <w:rPr>
          <w:rFonts w:ascii="Times New Roman" w:hAnsi="Times New Roman"/>
          <w:sz w:val="24"/>
          <w:szCs w:val="24"/>
          <w:lang w:val="nn-NO"/>
        </w:rPr>
        <w:t>(</w:t>
      </w:r>
      <w:proofErr w:type="spellStart"/>
      <w:r w:rsidR="0004451D">
        <w:rPr>
          <w:rFonts w:ascii="Times New Roman" w:hAnsi="Times New Roman"/>
          <w:sz w:val="24"/>
          <w:szCs w:val="24"/>
          <w:lang w:val="nn-NO"/>
        </w:rPr>
        <w:t>Jfr.plikt</w:t>
      </w:r>
      <w:proofErr w:type="spellEnd"/>
      <w:r w:rsidR="0004451D">
        <w:rPr>
          <w:rFonts w:ascii="Times New Roman" w:hAnsi="Times New Roman"/>
          <w:sz w:val="24"/>
          <w:szCs w:val="24"/>
          <w:lang w:val="nn-NO"/>
        </w:rPr>
        <w:t xml:space="preserve"> til etablering av ØH-senger, </w:t>
      </w:r>
      <w:proofErr w:type="spellStart"/>
      <w:r w:rsidR="0004451D">
        <w:rPr>
          <w:rFonts w:ascii="Times New Roman" w:hAnsi="Times New Roman"/>
          <w:sz w:val="24"/>
          <w:szCs w:val="24"/>
          <w:lang w:val="nn-NO"/>
        </w:rPr>
        <w:t>medfinansiering</w:t>
      </w:r>
      <w:proofErr w:type="spellEnd"/>
      <w:r w:rsidR="0004451D">
        <w:rPr>
          <w:rFonts w:ascii="Times New Roman" w:hAnsi="Times New Roman"/>
          <w:sz w:val="24"/>
          <w:szCs w:val="24"/>
          <w:lang w:val="nn-NO"/>
        </w:rPr>
        <w:t xml:space="preserve"> </w:t>
      </w:r>
      <w:proofErr w:type="spellStart"/>
      <w:r w:rsidR="0004451D">
        <w:rPr>
          <w:rFonts w:ascii="Times New Roman" w:hAnsi="Times New Roman"/>
          <w:sz w:val="24"/>
          <w:szCs w:val="24"/>
          <w:lang w:val="nn-NO"/>
        </w:rPr>
        <w:t>m.v</w:t>
      </w:r>
      <w:proofErr w:type="spellEnd"/>
      <w:r w:rsidR="0004451D">
        <w:rPr>
          <w:rFonts w:ascii="Times New Roman" w:hAnsi="Times New Roman"/>
          <w:sz w:val="24"/>
          <w:szCs w:val="24"/>
          <w:lang w:val="nn-NO"/>
        </w:rPr>
        <w:t xml:space="preserve">.) </w:t>
      </w:r>
    </w:p>
    <w:p w14:paraId="405F1752" w14:textId="77777777" w:rsidR="00B52F7C" w:rsidRDefault="00B52F7C" w:rsidP="0044293D">
      <w:pPr>
        <w:rPr>
          <w:rFonts w:ascii="Times New Roman" w:hAnsi="Times New Roman"/>
          <w:sz w:val="24"/>
          <w:szCs w:val="24"/>
          <w:lang w:val="nn-NO"/>
        </w:rPr>
      </w:pPr>
      <w:r>
        <w:rPr>
          <w:rFonts w:ascii="Times New Roman" w:hAnsi="Times New Roman"/>
          <w:sz w:val="24"/>
          <w:szCs w:val="24"/>
          <w:lang w:val="nn-NO"/>
        </w:rPr>
        <w:t xml:space="preserve">I 2014 er auken i talet på legar over </w:t>
      </w:r>
      <w:r w:rsidR="000F3BB2">
        <w:rPr>
          <w:rFonts w:ascii="Times New Roman" w:hAnsi="Times New Roman"/>
          <w:b/>
          <w:sz w:val="24"/>
          <w:szCs w:val="24"/>
          <w:lang w:val="nn-NO"/>
        </w:rPr>
        <w:t>4 gonga</w:t>
      </w:r>
      <w:r w:rsidRPr="008D1C88">
        <w:rPr>
          <w:rFonts w:ascii="Times New Roman" w:hAnsi="Times New Roman"/>
          <w:b/>
          <w:sz w:val="24"/>
          <w:szCs w:val="24"/>
          <w:lang w:val="nn-NO"/>
        </w:rPr>
        <w:t>r større</w:t>
      </w:r>
      <w:r>
        <w:rPr>
          <w:rFonts w:ascii="Times New Roman" w:hAnsi="Times New Roman"/>
          <w:sz w:val="24"/>
          <w:szCs w:val="24"/>
          <w:lang w:val="nn-NO"/>
        </w:rPr>
        <w:t xml:space="preserve"> i spesialisthelsetenest</w:t>
      </w:r>
      <w:r w:rsidR="0039686B">
        <w:rPr>
          <w:rFonts w:ascii="Times New Roman" w:hAnsi="Times New Roman"/>
          <w:sz w:val="24"/>
          <w:szCs w:val="24"/>
          <w:lang w:val="nn-NO"/>
        </w:rPr>
        <w:t>a</w:t>
      </w:r>
      <w:r>
        <w:rPr>
          <w:rFonts w:ascii="Times New Roman" w:hAnsi="Times New Roman"/>
          <w:sz w:val="24"/>
          <w:szCs w:val="24"/>
          <w:lang w:val="nn-NO"/>
        </w:rPr>
        <w:t xml:space="preserve"> enn i kommunane. </w:t>
      </w:r>
      <w:r w:rsidR="001D0038">
        <w:rPr>
          <w:rFonts w:ascii="Times New Roman" w:hAnsi="Times New Roman"/>
          <w:sz w:val="24"/>
          <w:szCs w:val="24"/>
          <w:lang w:val="nn-NO"/>
        </w:rPr>
        <w:t>Det er ikkje veldig vanskeleg å spå at dette og vil vere resultatet når tala for 2015 og 2016 føreligg.</w:t>
      </w:r>
    </w:p>
    <w:p w14:paraId="1B0E7C88" w14:textId="77777777" w:rsidR="001D0038" w:rsidRPr="00B52F7C" w:rsidRDefault="0039686B" w:rsidP="0044293D">
      <w:pPr>
        <w:rPr>
          <w:rFonts w:ascii="Times New Roman" w:hAnsi="Times New Roman"/>
          <w:sz w:val="24"/>
          <w:szCs w:val="24"/>
          <w:lang w:val="nn-NO"/>
        </w:rPr>
      </w:pPr>
      <w:r>
        <w:rPr>
          <w:rFonts w:ascii="Times New Roman" w:hAnsi="Times New Roman"/>
          <w:sz w:val="24"/>
          <w:szCs w:val="24"/>
          <w:lang w:val="nn-NO"/>
        </w:rPr>
        <w:t>Alle restriksjona</w:t>
      </w:r>
      <w:r w:rsidR="001D0038" w:rsidRPr="00554052">
        <w:rPr>
          <w:rFonts w:ascii="Times New Roman" w:hAnsi="Times New Roman"/>
          <w:sz w:val="24"/>
          <w:szCs w:val="24"/>
          <w:lang w:val="nn-NO"/>
        </w:rPr>
        <w:t>r for oppr</w:t>
      </w:r>
      <w:r w:rsidR="001D0038">
        <w:rPr>
          <w:rFonts w:ascii="Times New Roman" w:hAnsi="Times New Roman"/>
          <w:sz w:val="24"/>
          <w:szCs w:val="24"/>
          <w:lang w:val="nn-NO"/>
        </w:rPr>
        <w:t>etting av legeårsverk er fjerna</w:t>
      </w:r>
      <w:r w:rsidR="006E1A97">
        <w:rPr>
          <w:rFonts w:ascii="Times New Roman" w:hAnsi="Times New Roman"/>
          <w:sz w:val="24"/>
          <w:szCs w:val="24"/>
          <w:lang w:val="nn-NO"/>
        </w:rPr>
        <w:t>, både i kommuna</w:t>
      </w:r>
      <w:r w:rsidR="001D0038" w:rsidRPr="00554052">
        <w:rPr>
          <w:rFonts w:ascii="Times New Roman" w:hAnsi="Times New Roman"/>
          <w:sz w:val="24"/>
          <w:szCs w:val="24"/>
          <w:lang w:val="nn-NO"/>
        </w:rPr>
        <w:t>ne og i s</w:t>
      </w:r>
      <w:r w:rsidR="00223649">
        <w:rPr>
          <w:rFonts w:ascii="Times New Roman" w:hAnsi="Times New Roman"/>
          <w:sz w:val="24"/>
          <w:szCs w:val="24"/>
          <w:lang w:val="nn-NO"/>
        </w:rPr>
        <w:t>pesialisthelsetenesta</w:t>
      </w:r>
      <w:r w:rsidR="001D0038" w:rsidRPr="00554052">
        <w:rPr>
          <w:rFonts w:ascii="Times New Roman" w:hAnsi="Times New Roman"/>
          <w:sz w:val="24"/>
          <w:szCs w:val="24"/>
          <w:lang w:val="nn-NO"/>
        </w:rPr>
        <w:t>. Resultatet blir – naturlig no</w:t>
      </w:r>
      <w:r w:rsidR="006E1A97">
        <w:rPr>
          <w:rFonts w:ascii="Times New Roman" w:hAnsi="Times New Roman"/>
          <w:sz w:val="24"/>
          <w:szCs w:val="24"/>
          <w:lang w:val="nn-NO"/>
        </w:rPr>
        <w:t>k -  at legeveksten følg</w:t>
      </w:r>
      <w:r w:rsidR="008D1C88">
        <w:rPr>
          <w:rFonts w:ascii="Times New Roman" w:hAnsi="Times New Roman"/>
          <w:sz w:val="24"/>
          <w:szCs w:val="24"/>
          <w:lang w:val="nn-NO"/>
        </w:rPr>
        <w:t>j</w:t>
      </w:r>
      <w:r w:rsidR="006E1A97">
        <w:rPr>
          <w:rFonts w:ascii="Times New Roman" w:hAnsi="Times New Roman"/>
          <w:sz w:val="24"/>
          <w:szCs w:val="24"/>
          <w:lang w:val="nn-NO"/>
        </w:rPr>
        <w:t>er penga</w:t>
      </w:r>
      <w:r w:rsidR="001D0038" w:rsidRPr="00554052">
        <w:rPr>
          <w:rFonts w:ascii="Times New Roman" w:hAnsi="Times New Roman"/>
          <w:sz w:val="24"/>
          <w:szCs w:val="24"/>
          <w:lang w:val="nn-NO"/>
        </w:rPr>
        <w:t xml:space="preserve">ne, </w:t>
      </w:r>
      <w:proofErr w:type="spellStart"/>
      <w:r w:rsidR="001D0038" w:rsidRPr="00554052">
        <w:rPr>
          <w:rFonts w:ascii="Times New Roman" w:hAnsi="Times New Roman"/>
          <w:sz w:val="24"/>
          <w:szCs w:val="24"/>
          <w:lang w:val="nn-NO"/>
        </w:rPr>
        <w:t>d</w:t>
      </w:r>
      <w:r w:rsidR="00223649">
        <w:rPr>
          <w:rFonts w:ascii="Times New Roman" w:hAnsi="Times New Roman"/>
          <w:sz w:val="24"/>
          <w:szCs w:val="24"/>
          <w:lang w:val="nn-NO"/>
        </w:rPr>
        <w:t>vs</w:t>
      </w:r>
      <w:proofErr w:type="spellEnd"/>
      <w:r w:rsidR="00223649">
        <w:rPr>
          <w:rFonts w:ascii="Times New Roman" w:hAnsi="Times New Roman"/>
          <w:sz w:val="24"/>
          <w:szCs w:val="24"/>
          <w:lang w:val="nn-NO"/>
        </w:rPr>
        <w:t xml:space="preserve"> inn i spesialisthelsetenesta</w:t>
      </w:r>
      <w:r w:rsidR="006E1A97">
        <w:rPr>
          <w:rFonts w:ascii="Times New Roman" w:hAnsi="Times New Roman"/>
          <w:sz w:val="24"/>
          <w:szCs w:val="24"/>
          <w:lang w:val="nn-NO"/>
        </w:rPr>
        <w:t>.</w:t>
      </w:r>
    </w:p>
    <w:p w14:paraId="15CC3BC9" w14:textId="77777777" w:rsidR="004B426E" w:rsidRDefault="006E1A97" w:rsidP="006200B3">
      <w:pPr>
        <w:rPr>
          <w:rFonts w:ascii="Times New Roman" w:hAnsi="Times New Roman"/>
          <w:b/>
          <w:sz w:val="24"/>
          <w:szCs w:val="24"/>
          <w:lang w:val="nn-NO"/>
        </w:rPr>
      </w:pPr>
      <w:r w:rsidRPr="006E1A97">
        <w:rPr>
          <w:rFonts w:ascii="Times New Roman" w:hAnsi="Times New Roman"/>
          <w:b/>
          <w:sz w:val="24"/>
          <w:szCs w:val="24"/>
          <w:lang w:val="nn-NO"/>
        </w:rPr>
        <w:t xml:space="preserve">Avsluttande kommentar: </w:t>
      </w:r>
    </w:p>
    <w:p w14:paraId="571E4158" w14:textId="77777777" w:rsidR="006200B3" w:rsidRPr="00BC1468" w:rsidRDefault="006200B3" w:rsidP="006200B3">
      <w:pPr>
        <w:rPr>
          <w:rFonts w:ascii="Times New Roman" w:hAnsi="Times New Roman"/>
          <w:b/>
          <w:sz w:val="24"/>
          <w:szCs w:val="24"/>
          <w:lang w:val="nn-NO"/>
        </w:rPr>
      </w:pPr>
      <w:r w:rsidRPr="006E1A97">
        <w:rPr>
          <w:rFonts w:ascii="Times New Roman" w:hAnsi="Times New Roman"/>
          <w:sz w:val="24"/>
          <w:szCs w:val="24"/>
          <w:lang w:val="nn-NO"/>
        </w:rPr>
        <w:t>I</w:t>
      </w:r>
      <w:r w:rsidR="006E1A97" w:rsidRPr="006E1A97">
        <w:rPr>
          <w:rFonts w:ascii="Times New Roman" w:hAnsi="Times New Roman"/>
          <w:sz w:val="24"/>
          <w:szCs w:val="24"/>
          <w:lang w:val="nn-NO"/>
        </w:rPr>
        <w:t xml:space="preserve"> alle nasjonale plana</w:t>
      </w:r>
      <w:r w:rsidRPr="006E1A97">
        <w:rPr>
          <w:rFonts w:ascii="Times New Roman" w:hAnsi="Times New Roman"/>
          <w:sz w:val="24"/>
          <w:szCs w:val="24"/>
          <w:lang w:val="nn-NO"/>
        </w:rPr>
        <w:t xml:space="preserve">r </w:t>
      </w:r>
      <w:r w:rsidR="006E1A97" w:rsidRPr="006E1A97">
        <w:rPr>
          <w:rFonts w:ascii="Times New Roman" w:hAnsi="Times New Roman"/>
          <w:sz w:val="24"/>
          <w:szCs w:val="24"/>
          <w:lang w:val="nn-NO"/>
        </w:rPr>
        <w:t>vert kommunehelsetenesta presentert som  grunnmuren i helse og omsorgst</w:t>
      </w:r>
      <w:r w:rsidRPr="006E1A97">
        <w:rPr>
          <w:rFonts w:ascii="Times New Roman" w:hAnsi="Times New Roman"/>
          <w:sz w:val="24"/>
          <w:szCs w:val="24"/>
          <w:lang w:val="nn-NO"/>
        </w:rPr>
        <w:t xml:space="preserve">enestene. </w:t>
      </w:r>
      <w:r w:rsidR="00774A7B">
        <w:rPr>
          <w:rFonts w:ascii="Times New Roman" w:hAnsi="Times New Roman"/>
          <w:sz w:val="24"/>
          <w:szCs w:val="24"/>
          <w:lang w:val="nn-NO"/>
        </w:rPr>
        <w:t xml:space="preserve">I dag bruker </w:t>
      </w:r>
      <w:r w:rsidR="004B426E">
        <w:rPr>
          <w:rFonts w:ascii="Times New Roman" w:hAnsi="Times New Roman"/>
          <w:sz w:val="24"/>
          <w:szCs w:val="24"/>
          <w:lang w:val="nn-NO"/>
        </w:rPr>
        <w:t xml:space="preserve">me </w:t>
      </w:r>
      <w:r w:rsidR="00774A7B">
        <w:rPr>
          <w:rFonts w:ascii="Times New Roman" w:hAnsi="Times New Roman"/>
          <w:sz w:val="24"/>
          <w:szCs w:val="24"/>
          <w:lang w:val="nn-NO"/>
        </w:rPr>
        <w:t>mest midla</w:t>
      </w:r>
      <w:r w:rsidRPr="008D1C88">
        <w:rPr>
          <w:rFonts w:ascii="Times New Roman" w:hAnsi="Times New Roman"/>
          <w:sz w:val="24"/>
          <w:szCs w:val="24"/>
          <w:lang w:val="nn-NO"/>
        </w:rPr>
        <w:t xml:space="preserve">r i </w:t>
      </w:r>
      <w:r w:rsidR="006E1A97" w:rsidRPr="008D1C88">
        <w:rPr>
          <w:rFonts w:ascii="Times New Roman" w:hAnsi="Times New Roman"/>
          <w:sz w:val="24"/>
          <w:szCs w:val="24"/>
          <w:lang w:val="nn-NO"/>
        </w:rPr>
        <w:t>«</w:t>
      </w:r>
      <w:r w:rsidRPr="008D1C88">
        <w:rPr>
          <w:rFonts w:ascii="Times New Roman" w:hAnsi="Times New Roman"/>
          <w:sz w:val="24"/>
          <w:szCs w:val="24"/>
          <w:lang w:val="nn-NO"/>
        </w:rPr>
        <w:t>toppetasjen</w:t>
      </w:r>
      <w:r w:rsidR="006E1A97" w:rsidRPr="008D1C88">
        <w:rPr>
          <w:rFonts w:ascii="Times New Roman" w:hAnsi="Times New Roman"/>
          <w:sz w:val="24"/>
          <w:szCs w:val="24"/>
          <w:lang w:val="nn-NO"/>
        </w:rPr>
        <w:t>»</w:t>
      </w:r>
      <w:r w:rsidRPr="008D1C88">
        <w:rPr>
          <w:rFonts w:ascii="Times New Roman" w:hAnsi="Times New Roman"/>
          <w:sz w:val="24"/>
          <w:szCs w:val="24"/>
          <w:lang w:val="nn-NO"/>
        </w:rPr>
        <w:t xml:space="preserve"> av pyr</w:t>
      </w:r>
      <w:r w:rsidR="00774A7B">
        <w:rPr>
          <w:rFonts w:ascii="Times New Roman" w:hAnsi="Times New Roman"/>
          <w:sz w:val="24"/>
          <w:szCs w:val="24"/>
          <w:lang w:val="nn-NO"/>
        </w:rPr>
        <w:t>a</w:t>
      </w:r>
      <w:r w:rsidRPr="008D1C88">
        <w:rPr>
          <w:rFonts w:ascii="Times New Roman" w:hAnsi="Times New Roman"/>
          <w:sz w:val="24"/>
          <w:szCs w:val="24"/>
          <w:lang w:val="nn-NO"/>
        </w:rPr>
        <w:t xml:space="preserve">miden, </w:t>
      </w:r>
      <w:r w:rsidR="006E1A97" w:rsidRPr="008D1C88">
        <w:rPr>
          <w:rFonts w:ascii="Times New Roman" w:hAnsi="Times New Roman"/>
          <w:sz w:val="24"/>
          <w:szCs w:val="24"/>
          <w:lang w:val="nn-NO"/>
        </w:rPr>
        <w:t>spesialisthelsetenesta</w:t>
      </w:r>
      <w:r w:rsidRPr="008D1C88">
        <w:rPr>
          <w:rFonts w:ascii="Times New Roman" w:hAnsi="Times New Roman"/>
          <w:sz w:val="24"/>
          <w:szCs w:val="24"/>
          <w:lang w:val="nn-NO"/>
        </w:rPr>
        <w:t xml:space="preserve">. </w:t>
      </w:r>
      <w:r w:rsidRPr="00BC1468">
        <w:rPr>
          <w:rFonts w:ascii="Times New Roman" w:hAnsi="Times New Roman"/>
          <w:sz w:val="24"/>
          <w:szCs w:val="24"/>
          <w:lang w:val="nn-NO"/>
        </w:rPr>
        <w:t>Dette skulle Samhandlingsrefor</w:t>
      </w:r>
      <w:r w:rsidR="0039686B">
        <w:rPr>
          <w:rFonts w:ascii="Times New Roman" w:hAnsi="Times New Roman"/>
          <w:sz w:val="24"/>
          <w:szCs w:val="24"/>
          <w:lang w:val="nn-NO"/>
        </w:rPr>
        <w:t>ma</w:t>
      </w:r>
      <w:r w:rsidR="006E1A97" w:rsidRPr="00BC1468">
        <w:rPr>
          <w:rFonts w:ascii="Times New Roman" w:hAnsi="Times New Roman"/>
          <w:sz w:val="24"/>
          <w:szCs w:val="24"/>
          <w:lang w:val="nn-NO"/>
        </w:rPr>
        <w:t xml:space="preserve"> endre på. Det har </w:t>
      </w:r>
      <w:r w:rsidR="00C122B9">
        <w:rPr>
          <w:rFonts w:ascii="Times New Roman" w:hAnsi="Times New Roman"/>
          <w:sz w:val="24"/>
          <w:szCs w:val="24"/>
          <w:lang w:val="nn-NO"/>
        </w:rPr>
        <w:t xml:space="preserve">diverre </w:t>
      </w:r>
      <w:r w:rsidRPr="00BC1468">
        <w:rPr>
          <w:rFonts w:ascii="Times New Roman" w:hAnsi="Times New Roman"/>
          <w:sz w:val="24"/>
          <w:szCs w:val="24"/>
          <w:lang w:val="nn-NO"/>
        </w:rPr>
        <w:t>ikk</w:t>
      </w:r>
      <w:r w:rsidR="0039686B">
        <w:rPr>
          <w:rFonts w:ascii="Times New Roman" w:hAnsi="Times New Roman"/>
          <w:sz w:val="24"/>
          <w:szCs w:val="24"/>
          <w:lang w:val="nn-NO"/>
        </w:rPr>
        <w:t>j</w:t>
      </w:r>
      <w:r w:rsidRPr="00BC1468">
        <w:rPr>
          <w:rFonts w:ascii="Times New Roman" w:hAnsi="Times New Roman"/>
          <w:sz w:val="24"/>
          <w:szCs w:val="24"/>
          <w:lang w:val="nn-NO"/>
        </w:rPr>
        <w:t>e skjedd.</w:t>
      </w:r>
    </w:p>
    <w:p w14:paraId="0F24E8D0" w14:textId="48573A06" w:rsidR="006200B3" w:rsidRDefault="004B426E" w:rsidP="006200B3">
      <w:pPr>
        <w:rPr>
          <w:rFonts w:ascii="Times New Roman" w:hAnsi="Times New Roman"/>
          <w:sz w:val="24"/>
          <w:szCs w:val="24"/>
          <w:lang w:val="nn-NO"/>
        </w:rPr>
      </w:pPr>
      <w:r>
        <w:rPr>
          <w:rFonts w:ascii="Times New Roman" w:hAnsi="Times New Roman"/>
          <w:sz w:val="24"/>
          <w:szCs w:val="24"/>
          <w:lang w:val="nn-NO"/>
        </w:rPr>
        <w:t>Me må minna oss sjølve om</w:t>
      </w:r>
      <w:r w:rsidR="008D1C88" w:rsidRPr="008D1C88">
        <w:rPr>
          <w:rFonts w:ascii="Times New Roman" w:hAnsi="Times New Roman"/>
          <w:sz w:val="24"/>
          <w:szCs w:val="24"/>
          <w:lang w:val="nn-NO"/>
        </w:rPr>
        <w:t xml:space="preserve"> kva føresetnader Samhandlingsreform</w:t>
      </w:r>
      <w:r w:rsidR="00774A7B">
        <w:rPr>
          <w:rFonts w:ascii="Times New Roman" w:hAnsi="Times New Roman"/>
          <w:sz w:val="24"/>
          <w:szCs w:val="24"/>
          <w:lang w:val="nn-NO"/>
        </w:rPr>
        <w:t>a vart tufta på</w:t>
      </w:r>
      <w:r>
        <w:rPr>
          <w:rFonts w:ascii="Times New Roman" w:hAnsi="Times New Roman"/>
          <w:sz w:val="24"/>
          <w:szCs w:val="24"/>
          <w:lang w:val="nn-NO"/>
        </w:rPr>
        <w:t xml:space="preserve"> når me ser på</w:t>
      </w:r>
      <w:r w:rsidR="00774A7B">
        <w:rPr>
          <w:rFonts w:ascii="Times New Roman" w:hAnsi="Times New Roman"/>
          <w:sz w:val="24"/>
          <w:szCs w:val="24"/>
          <w:lang w:val="nn-NO"/>
        </w:rPr>
        <w:t xml:space="preserve"> kva som fakt</w:t>
      </w:r>
      <w:r w:rsidR="008D1C88" w:rsidRPr="008D1C88">
        <w:rPr>
          <w:rFonts w:ascii="Times New Roman" w:hAnsi="Times New Roman"/>
          <w:sz w:val="24"/>
          <w:szCs w:val="24"/>
          <w:lang w:val="nn-NO"/>
        </w:rPr>
        <w:t xml:space="preserve">isk har skjedd. </w:t>
      </w:r>
      <w:r w:rsidR="00774A7B">
        <w:rPr>
          <w:rFonts w:ascii="Times New Roman" w:hAnsi="Times New Roman"/>
          <w:sz w:val="24"/>
          <w:szCs w:val="24"/>
          <w:lang w:val="nn-NO"/>
        </w:rPr>
        <w:t xml:space="preserve">Om Storting/regjering faktisk ønskjer at Samhandlingsreforma skal lukkast, krev det endring av dei </w:t>
      </w:r>
      <w:r w:rsidR="00322EB2">
        <w:rPr>
          <w:rFonts w:ascii="Times New Roman" w:hAnsi="Times New Roman"/>
          <w:sz w:val="24"/>
          <w:szCs w:val="24"/>
          <w:lang w:val="nn-NO"/>
        </w:rPr>
        <w:t xml:space="preserve">økonomiske rammeføresetnadene. </w:t>
      </w:r>
      <w:r w:rsidR="006414F4">
        <w:rPr>
          <w:rFonts w:ascii="Times New Roman" w:hAnsi="Times New Roman"/>
          <w:sz w:val="24"/>
          <w:szCs w:val="24"/>
          <w:lang w:val="nn-NO"/>
        </w:rPr>
        <w:t>Det krev konkrete tiltak.</w:t>
      </w:r>
    </w:p>
    <w:p w14:paraId="16041AAE" w14:textId="77777777" w:rsidR="004B426E" w:rsidRPr="00774A7B" w:rsidRDefault="004B426E" w:rsidP="006200B3">
      <w:pPr>
        <w:rPr>
          <w:rFonts w:ascii="Times New Roman" w:hAnsi="Times New Roman"/>
          <w:sz w:val="24"/>
          <w:szCs w:val="24"/>
          <w:lang w:val="nn-NO"/>
        </w:rPr>
      </w:pPr>
    </w:p>
    <w:p w14:paraId="368031A5" w14:textId="77777777" w:rsidR="006200B3" w:rsidRDefault="00E24B59" w:rsidP="006200B3">
      <w:pPr>
        <w:rPr>
          <w:rFonts w:ascii="Times New Roman" w:hAnsi="Times New Roman"/>
          <w:sz w:val="24"/>
          <w:szCs w:val="24"/>
          <w:lang w:val="nn-NO"/>
        </w:rPr>
      </w:pPr>
      <w:r>
        <w:rPr>
          <w:rFonts w:ascii="Times New Roman" w:hAnsi="Times New Roman"/>
          <w:sz w:val="24"/>
          <w:szCs w:val="24"/>
          <w:lang w:val="nn-NO"/>
        </w:rPr>
        <w:t>Magne Vassenden</w:t>
      </w:r>
    </w:p>
    <w:p w14:paraId="6EFD55C3" w14:textId="77777777" w:rsidR="00BC1468" w:rsidRPr="00774A7B" w:rsidRDefault="00E24B59" w:rsidP="006200B3">
      <w:pPr>
        <w:rPr>
          <w:rFonts w:ascii="Times New Roman" w:hAnsi="Times New Roman"/>
          <w:sz w:val="24"/>
          <w:szCs w:val="24"/>
          <w:lang w:val="nn-NO"/>
        </w:rPr>
      </w:pPr>
      <w:r>
        <w:rPr>
          <w:rFonts w:ascii="Times New Roman" w:hAnsi="Times New Roman"/>
          <w:sz w:val="24"/>
          <w:szCs w:val="24"/>
          <w:lang w:val="nn-NO"/>
        </w:rPr>
        <w:t>Prosjektleiar, Folkehelse og samhandling, Hardanger og Voss</w:t>
      </w:r>
    </w:p>
    <w:sectPr w:rsidR="00BC1468" w:rsidRPr="00774A7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A6C576" w14:textId="77777777" w:rsidR="0004451D" w:rsidRDefault="0004451D">
      <w:pPr>
        <w:spacing w:after="0" w:line="240" w:lineRule="auto"/>
      </w:pPr>
      <w:r>
        <w:separator/>
      </w:r>
    </w:p>
  </w:endnote>
  <w:endnote w:type="continuationSeparator" w:id="0">
    <w:p w14:paraId="358EBDE4" w14:textId="77777777" w:rsidR="0004451D" w:rsidRDefault="00044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5551250"/>
      <w:docPartObj>
        <w:docPartGallery w:val="Page Numbers (Bottom of Page)"/>
        <w:docPartUnique/>
      </w:docPartObj>
    </w:sdtPr>
    <w:sdtEndPr/>
    <w:sdtContent>
      <w:p w14:paraId="34BD251E" w14:textId="77777777" w:rsidR="0004451D" w:rsidRDefault="0004451D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7C4" w:rsidRPr="002247C4">
          <w:rPr>
            <w:noProof/>
            <w:lang w:val="nn-NO"/>
          </w:rPr>
          <w:t>3</w:t>
        </w:r>
        <w:r>
          <w:fldChar w:fldCharType="end"/>
        </w:r>
      </w:p>
    </w:sdtContent>
  </w:sdt>
  <w:p w14:paraId="5745B92D" w14:textId="77777777" w:rsidR="0004451D" w:rsidRDefault="0004451D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240CF8" w14:textId="77777777" w:rsidR="0004451D" w:rsidRDefault="0004451D">
      <w:pPr>
        <w:spacing w:after="0" w:line="240" w:lineRule="auto"/>
      </w:pPr>
      <w:r>
        <w:separator/>
      </w:r>
    </w:p>
  </w:footnote>
  <w:footnote w:type="continuationSeparator" w:id="0">
    <w:p w14:paraId="52509882" w14:textId="77777777" w:rsidR="0004451D" w:rsidRDefault="00044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8D184" w14:textId="77777777" w:rsidR="0004451D" w:rsidRPr="00C13A53" w:rsidRDefault="0004451D" w:rsidP="009460FD">
    <w:pPr>
      <w:rPr>
        <w:rFonts w:ascii="Times New Roman" w:eastAsia="Times New Roman" w:hAnsi="Times New Roman"/>
        <w:b/>
        <w:sz w:val="32"/>
        <w:szCs w:val="32"/>
        <w:lang w:eastAsia="nb-NO"/>
      </w:rPr>
    </w:pPr>
  </w:p>
  <w:p w14:paraId="26EAA4D3" w14:textId="77777777" w:rsidR="0004451D" w:rsidRDefault="0004451D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042F"/>
    <w:multiLevelType w:val="hybridMultilevel"/>
    <w:tmpl w:val="6528158A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29D5DCD"/>
    <w:multiLevelType w:val="hybridMultilevel"/>
    <w:tmpl w:val="7494B2F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95366"/>
    <w:multiLevelType w:val="hybridMultilevel"/>
    <w:tmpl w:val="1D82674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53E3B"/>
    <w:multiLevelType w:val="hybridMultilevel"/>
    <w:tmpl w:val="4FEED84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856A3"/>
    <w:multiLevelType w:val="hybridMultilevel"/>
    <w:tmpl w:val="F2B82954"/>
    <w:lvl w:ilvl="0" w:tplc="0814000F">
      <w:start w:val="1"/>
      <w:numFmt w:val="decimal"/>
      <w:lvlText w:val="%1."/>
      <w:lvlJc w:val="left"/>
      <w:pPr>
        <w:ind w:left="360" w:hanging="360"/>
      </w:pPr>
    </w:lvl>
    <w:lvl w:ilvl="1" w:tplc="08140019">
      <w:start w:val="1"/>
      <w:numFmt w:val="lowerLetter"/>
      <w:lvlText w:val="%2."/>
      <w:lvlJc w:val="left"/>
      <w:pPr>
        <w:ind w:left="1080" w:hanging="360"/>
      </w:pPr>
    </w:lvl>
    <w:lvl w:ilvl="2" w:tplc="0814001B" w:tentative="1">
      <w:start w:val="1"/>
      <w:numFmt w:val="lowerRoman"/>
      <w:lvlText w:val="%3."/>
      <w:lvlJc w:val="right"/>
      <w:pPr>
        <w:ind w:left="1800" w:hanging="180"/>
      </w:pPr>
    </w:lvl>
    <w:lvl w:ilvl="3" w:tplc="0814000F" w:tentative="1">
      <w:start w:val="1"/>
      <w:numFmt w:val="decimal"/>
      <w:lvlText w:val="%4."/>
      <w:lvlJc w:val="left"/>
      <w:pPr>
        <w:ind w:left="2520" w:hanging="360"/>
      </w:pPr>
    </w:lvl>
    <w:lvl w:ilvl="4" w:tplc="08140019" w:tentative="1">
      <w:start w:val="1"/>
      <w:numFmt w:val="lowerLetter"/>
      <w:lvlText w:val="%5."/>
      <w:lvlJc w:val="left"/>
      <w:pPr>
        <w:ind w:left="3240" w:hanging="360"/>
      </w:pPr>
    </w:lvl>
    <w:lvl w:ilvl="5" w:tplc="0814001B" w:tentative="1">
      <w:start w:val="1"/>
      <w:numFmt w:val="lowerRoman"/>
      <w:lvlText w:val="%6."/>
      <w:lvlJc w:val="right"/>
      <w:pPr>
        <w:ind w:left="3960" w:hanging="180"/>
      </w:pPr>
    </w:lvl>
    <w:lvl w:ilvl="6" w:tplc="0814000F" w:tentative="1">
      <w:start w:val="1"/>
      <w:numFmt w:val="decimal"/>
      <w:lvlText w:val="%7."/>
      <w:lvlJc w:val="left"/>
      <w:pPr>
        <w:ind w:left="4680" w:hanging="360"/>
      </w:pPr>
    </w:lvl>
    <w:lvl w:ilvl="7" w:tplc="08140019" w:tentative="1">
      <w:start w:val="1"/>
      <w:numFmt w:val="lowerLetter"/>
      <w:lvlText w:val="%8."/>
      <w:lvlJc w:val="left"/>
      <w:pPr>
        <w:ind w:left="5400" w:hanging="360"/>
      </w:pPr>
    </w:lvl>
    <w:lvl w:ilvl="8" w:tplc="08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790E90"/>
    <w:multiLevelType w:val="hybridMultilevel"/>
    <w:tmpl w:val="C9CE5AC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BA01ED"/>
    <w:multiLevelType w:val="hybridMultilevel"/>
    <w:tmpl w:val="58FE9FE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743AE"/>
    <w:multiLevelType w:val="hybridMultilevel"/>
    <w:tmpl w:val="2A068FC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7C2C92"/>
    <w:multiLevelType w:val="hybridMultilevel"/>
    <w:tmpl w:val="316C79D0"/>
    <w:lvl w:ilvl="0" w:tplc="08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080" w:hanging="360"/>
      </w:pPr>
    </w:lvl>
    <w:lvl w:ilvl="2" w:tplc="0814001B" w:tentative="1">
      <w:start w:val="1"/>
      <w:numFmt w:val="lowerRoman"/>
      <w:lvlText w:val="%3."/>
      <w:lvlJc w:val="right"/>
      <w:pPr>
        <w:ind w:left="1800" w:hanging="180"/>
      </w:pPr>
    </w:lvl>
    <w:lvl w:ilvl="3" w:tplc="0814000F" w:tentative="1">
      <w:start w:val="1"/>
      <w:numFmt w:val="decimal"/>
      <w:lvlText w:val="%4."/>
      <w:lvlJc w:val="left"/>
      <w:pPr>
        <w:ind w:left="2520" w:hanging="360"/>
      </w:pPr>
    </w:lvl>
    <w:lvl w:ilvl="4" w:tplc="08140019" w:tentative="1">
      <w:start w:val="1"/>
      <w:numFmt w:val="lowerLetter"/>
      <w:lvlText w:val="%5."/>
      <w:lvlJc w:val="left"/>
      <w:pPr>
        <w:ind w:left="3240" w:hanging="360"/>
      </w:pPr>
    </w:lvl>
    <w:lvl w:ilvl="5" w:tplc="0814001B" w:tentative="1">
      <w:start w:val="1"/>
      <w:numFmt w:val="lowerRoman"/>
      <w:lvlText w:val="%6."/>
      <w:lvlJc w:val="right"/>
      <w:pPr>
        <w:ind w:left="3960" w:hanging="180"/>
      </w:pPr>
    </w:lvl>
    <w:lvl w:ilvl="6" w:tplc="0814000F" w:tentative="1">
      <w:start w:val="1"/>
      <w:numFmt w:val="decimal"/>
      <w:lvlText w:val="%7."/>
      <w:lvlJc w:val="left"/>
      <w:pPr>
        <w:ind w:left="4680" w:hanging="360"/>
      </w:pPr>
    </w:lvl>
    <w:lvl w:ilvl="7" w:tplc="08140019" w:tentative="1">
      <w:start w:val="1"/>
      <w:numFmt w:val="lowerLetter"/>
      <w:lvlText w:val="%8."/>
      <w:lvlJc w:val="left"/>
      <w:pPr>
        <w:ind w:left="5400" w:hanging="360"/>
      </w:pPr>
    </w:lvl>
    <w:lvl w:ilvl="8" w:tplc="08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9364D9"/>
    <w:multiLevelType w:val="hybridMultilevel"/>
    <w:tmpl w:val="2A5C63F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C142A7"/>
    <w:multiLevelType w:val="hybridMultilevel"/>
    <w:tmpl w:val="9DA40C9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6A1A57"/>
    <w:multiLevelType w:val="hybridMultilevel"/>
    <w:tmpl w:val="DE4A527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5136AB"/>
    <w:multiLevelType w:val="hybridMultilevel"/>
    <w:tmpl w:val="DC96FBE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581173"/>
    <w:multiLevelType w:val="hybridMultilevel"/>
    <w:tmpl w:val="5DFE67F2"/>
    <w:lvl w:ilvl="0" w:tplc="0814000F">
      <w:start w:val="1"/>
      <w:numFmt w:val="decimal"/>
      <w:lvlText w:val="%1."/>
      <w:lvlJc w:val="left"/>
      <w:pPr>
        <w:ind w:left="780" w:hanging="360"/>
      </w:pPr>
    </w:lvl>
    <w:lvl w:ilvl="1" w:tplc="08140019" w:tentative="1">
      <w:start w:val="1"/>
      <w:numFmt w:val="lowerLetter"/>
      <w:lvlText w:val="%2."/>
      <w:lvlJc w:val="left"/>
      <w:pPr>
        <w:ind w:left="1500" w:hanging="360"/>
      </w:pPr>
    </w:lvl>
    <w:lvl w:ilvl="2" w:tplc="0814001B" w:tentative="1">
      <w:start w:val="1"/>
      <w:numFmt w:val="lowerRoman"/>
      <w:lvlText w:val="%3."/>
      <w:lvlJc w:val="right"/>
      <w:pPr>
        <w:ind w:left="2220" w:hanging="180"/>
      </w:pPr>
    </w:lvl>
    <w:lvl w:ilvl="3" w:tplc="0814000F" w:tentative="1">
      <w:start w:val="1"/>
      <w:numFmt w:val="decimal"/>
      <w:lvlText w:val="%4."/>
      <w:lvlJc w:val="left"/>
      <w:pPr>
        <w:ind w:left="2940" w:hanging="360"/>
      </w:pPr>
    </w:lvl>
    <w:lvl w:ilvl="4" w:tplc="08140019" w:tentative="1">
      <w:start w:val="1"/>
      <w:numFmt w:val="lowerLetter"/>
      <w:lvlText w:val="%5."/>
      <w:lvlJc w:val="left"/>
      <w:pPr>
        <w:ind w:left="3660" w:hanging="360"/>
      </w:pPr>
    </w:lvl>
    <w:lvl w:ilvl="5" w:tplc="0814001B" w:tentative="1">
      <w:start w:val="1"/>
      <w:numFmt w:val="lowerRoman"/>
      <w:lvlText w:val="%6."/>
      <w:lvlJc w:val="right"/>
      <w:pPr>
        <w:ind w:left="4380" w:hanging="180"/>
      </w:pPr>
    </w:lvl>
    <w:lvl w:ilvl="6" w:tplc="0814000F" w:tentative="1">
      <w:start w:val="1"/>
      <w:numFmt w:val="decimal"/>
      <w:lvlText w:val="%7."/>
      <w:lvlJc w:val="left"/>
      <w:pPr>
        <w:ind w:left="5100" w:hanging="360"/>
      </w:pPr>
    </w:lvl>
    <w:lvl w:ilvl="7" w:tplc="08140019" w:tentative="1">
      <w:start w:val="1"/>
      <w:numFmt w:val="lowerLetter"/>
      <w:lvlText w:val="%8."/>
      <w:lvlJc w:val="left"/>
      <w:pPr>
        <w:ind w:left="5820" w:hanging="360"/>
      </w:pPr>
    </w:lvl>
    <w:lvl w:ilvl="8" w:tplc="081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3CF965EE"/>
    <w:multiLevelType w:val="hybridMultilevel"/>
    <w:tmpl w:val="4D56662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841AAD"/>
    <w:multiLevelType w:val="hybridMultilevel"/>
    <w:tmpl w:val="2FDC994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3D0753"/>
    <w:multiLevelType w:val="hybridMultilevel"/>
    <w:tmpl w:val="4314DDE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D73EE3"/>
    <w:multiLevelType w:val="hybridMultilevel"/>
    <w:tmpl w:val="9098C53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D36143"/>
    <w:multiLevelType w:val="hybridMultilevel"/>
    <w:tmpl w:val="6BA4E3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FA27C4"/>
    <w:multiLevelType w:val="hybridMultilevel"/>
    <w:tmpl w:val="A768CC48"/>
    <w:lvl w:ilvl="0" w:tplc="A05A3D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40019" w:tentative="1">
      <w:start w:val="1"/>
      <w:numFmt w:val="lowerLetter"/>
      <w:lvlText w:val="%2."/>
      <w:lvlJc w:val="left"/>
      <w:pPr>
        <w:ind w:left="1080" w:hanging="360"/>
      </w:pPr>
    </w:lvl>
    <w:lvl w:ilvl="2" w:tplc="0814001B" w:tentative="1">
      <w:start w:val="1"/>
      <w:numFmt w:val="lowerRoman"/>
      <w:lvlText w:val="%3."/>
      <w:lvlJc w:val="right"/>
      <w:pPr>
        <w:ind w:left="1800" w:hanging="180"/>
      </w:pPr>
    </w:lvl>
    <w:lvl w:ilvl="3" w:tplc="0814000F" w:tentative="1">
      <w:start w:val="1"/>
      <w:numFmt w:val="decimal"/>
      <w:lvlText w:val="%4."/>
      <w:lvlJc w:val="left"/>
      <w:pPr>
        <w:ind w:left="2520" w:hanging="360"/>
      </w:pPr>
    </w:lvl>
    <w:lvl w:ilvl="4" w:tplc="08140019" w:tentative="1">
      <w:start w:val="1"/>
      <w:numFmt w:val="lowerLetter"/>
      <w:lvlText w:val="%5."/>
      <w:lvlJc w:val="left"/>
      <w:pPr>
        <w:ind w:left="3240" w:hanging="360"/>
      </w:pPr>
    </w:lvl>
    <w:lvl w:ilvl="5" w:tplc="0814001B" w:tentative="1">
      <w:start w:val="1"/>
      <w:numFmt w:val="lowerRoman"/>
      <w:lvlText w:val="%6."/>
      <w:lvlJc w:val="right"/>
      <w:pPr>
        <w:ind w:left="3960" w:hanging="180"/>
      </w:pPr>
    </w:lvl>
    <w:lvl w:ilvl="6" w:tplc="0814000F" w:tentative="1">
      <w:start w:val="1"/>
      <w:numFmt w:val="decimal"/>
      <w:lvlText w:val="%7."/>
      <w:lvlJc w:val="left"/>
      <w:pPr>
        <w:ind w:left="4680" w:hanging="360"/>
      </w:pPr>
    </w:lvl>
    <w:lvl w:ilvl="7" w:tplc="08140019" w:tentative="1">
      <w:start w:val="1"/>
      <w:numFmt w:val="lowerLetter"/>
      <w:lvlText w:val="%8."/>
      <w:lvlJc w:val="left"/>
      <w:pPr>
        <w:ind w:left="5400" w:hanging="360"/>
      </w:pPr>
    </w:lvl>
    <w:lvl w:ilvl="8" w:tplc="08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4DA5B66"/>
    <w:multiLevelType w:val="hybridMultilevel"/>
    <w:tmpl w:val="58029B96"/>
    <w:lvl w:ilvl="0" w:tplc="08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66DF38CC"/>
    <w:multiLevelType w:val="hybridMultilevel"/>
    <w:tmpl w:val="4538E71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095BED"/>
    <w:multiLevelType w:val="hybridMultilevel"/>
    <w:tmpl w:val="D2BAD2EE"/>
    <w:lvl w:ilvl="0" w:tplc="08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5EA63E6"/>
    <w:multiLevelType w:val="hybridMultilevel"/>
    <w:tmpl w:val="59D22BC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B3723E"/>
    <w:multiLevelType w:val="multilevel"/>
    <w:tmpl w:val="18E8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6A6958"/>
    <w:multiLevelType w:val="hybridMultilevel"/>
    <w:tmpl w:val="6B865A1A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4"/>
  </w:num>
  <w:num w:numId="4">
    <w:abstractNumId w:val="21"/>
  </w:num>
  <w:num w:numId="5">
    <w:abstractNumId w:val="12"/>
  </w:num>
  <w:num w:numId="6">
    <w:abstractNumId w:val="20"/>
  </w:num>
  <w:num w:numId="7">
    <w:abstractNumId w:val="2"/>
  </w:num>
  <w:num w:numId="8">
    <w:abstractNumId w:val="11"/>
  </w:num>
  <w:num w:numId="9">
    <w:abstractNumId w:val="17"/>
  </w:num>
  <w:num w:numId="10">
    <w:abstractNumId w:val="22"/>
  </w:num>
  <w:num w:numId="11">
    <w:abstractNumId w:val="7"/>
  </w:num>
  <w:num w:numId="12">
    <w:abstractNumId w:val="3"/>
  </w:num>
  <w:num w:numId="13">
    <w:abstractNumId w:val="10"/>
  </w:num>
  <w:num w:numId="14">
    <w:abstractNumId w:val="4"/>
  </w:num>
  <w:num w:numId="15">
    <w:abstractNumId w:val="13"/>
  </w:num>
  <w:num w:numId="16">
    <w:abstractNumId w:val="16"/>
  </w:num>
  <w:num w:numId="17">
    <w:abstractNumId w:val="5"/>
  </w:num>
  <w:num w:numId="18">
    <w:abstractNumId w:val="0"/>
  </w:num>
  <w:num w:numId="19">
    <w:abstractNumId w:val="18"/>
  </w:num>
  <w:num w:numId="20">
    <w:abstractNumId w:val="6"/>
  </w:num>
  <w:num w:numId="21">
    <w:abstractNumId w:val="19"/>
  </w:num>
  <w:num w:numId="22">
    <w:abstractNumId w:val="14"/>
  </w:num>
  <w:num w:numId="23">
    <w:abstractNumId w:val="25"/>
  </w:num>
  <w:num w:numId="24">
    <w:abstractNumId w:val="15"/>
  </w:num>
  <w:num w:numId="25">
    <w:abstractNumId w:val="1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58B"/>
    <w:rsid w:val="0004451D"/>
    <w:rsid w:val="000A2158"/>
    <w:rsid w:val="000C058B"/>
    <w:rsid w:val="000C5354"/>
    <w:rsid w:val="000F3BB2"/>
    <w:rsid w:val="00151E66"/>
    <w:rsid w:val="001532F0"/>
    <w:rsid w:val="00161CB4"/>
    <w:rsid w:val="0017356A"/>
    <w:rsid w:val="001D0038"/>
    <w:rsid w:val="00223649"/>
    <w:rsid w:val="002247C4"/>
    <w:rsid w:val="00250372"/>
    <w:rsid w:val="00251827"/>
    <w:rsid w:val="002A0C54"/>
    <w:rsid w:val="00316303"/>
    <w:rsid w:val="00317D6C"/>
    <w:rsid w:val="00322EB2"/>
    <w:rsid w:val="00377504"/>
    <w:rsid w:val="0039686B"/>
    <w:rsid w:val="0039716C"/>
    <w:rsid w:val="003B36AA"/>
    <w:rsid w:val="003C29CE"/>
    <w:rsid w:val="003F559F"/>
    <w:rsid w:val="0044293D"/>
    <w:rsid w:val="00444315"/>
    <w:rsid w:val="004449FA"/>
    <w:rsid w:val="004A443B"/>
    <w:rsid w:val="004B426E"/>
    <w:rsid w:val="004C7FCC"/>
    <w:rsid w:val="00521494"/>
    <w:rsid w:val="00554052"/>
    <w:rsid w:val="005813D3"/>
    <w:rsid w:val="005834CA"/>
    <w:rsid w:val="00604DC1"/>
    <w:rsid w:val="006200B3"/>
    <w:rsid w:val="00635FC5"/>
    <w:rsid w:val="006414F4"/>
    <w:rsid w:val="006546DA"/>
    <w:rsid w:val="00686D40"/>
    <w:rsid w:val="006A48E9"/>
    <w:rsid w:val="006E1324"/>
    <w:rsid w:val="006E1A97"/>
    <w:rsid w:val="00716DF3"/>
    <w:rsid w:val="00747F74"/>
    <w:rsid w:val="00774A7B"/>
    <w:rsid w:val="00781073"/>
    <w:rsid w:val="007B36CE"/>
    <w:rsid w:val="0085628F"/>
    <w:rsid w:val="00857433"/>
    <w:rsid w:val="00864E22"/>
    <w:rsid w:val="008A52B9"/>
    <w:rsid w:val="008D1C88"/>
    <w:rsid w:val="008F15B3"/>
    <w:rsid w:val="009460FD"/>
    <w:rsid w:val="009503CA"/>
    <w:rsid w:val="00955188"/>
    <w:rsid w:val="0095548F"/>
    <w:rsid w:val="009733DA"/>
    <w:rsid w:val="00A14501"/>
    <w:rsid w:val="00A46F1E"/>
    <w:rsid w:val="00A65D25"/>
    <w:rsid w:val="00A856C7"/>
    <w:rsid w:val="00A873F1"/>
    <w:rsid w:val="00AB2FE5"/>
    <w:rsid w:val="00B52F7C"/>
    <w:rsid w:val="00B67DC7"/>
    <w:rsid w:val="00B827A5"/>
    <w:rsid w:val="00BC1468"/>
    <w:rsid w:val="00C122B9"/>
    <w:rsid w:val="00C22B88"/>
    <w:rsid w:val="00C3063E"/>
    <w:rsid w:val="00C66A2B"/>
    <w:rsid w:val="00C8523B"/>
    <w:rsid w:val="00C97362"/>
    <w:rsid w:val="00CC0B32"/>
    <w:rsid w:val="00CC7730"/>
    <w:rsid w:val="00D176C0"/>
    <w:rsid w:val="00D46BAA"/>
    <w:rsid w:val="00D50585"/>
    <w:rsid w:val="00D74ECB"/>
    <w:rsid w:val="00DF0A33"/>
    <w:rsid w:val="00E24B59"/>
    <w:rsid w:val="00E57792"/>
    <w:rsid w:val="00E73857"/>
    <w:rsid w:val="00E8573C"/>
    <w:rsid w:val="00E95223"/>
    <w:rsid w:val="00EE0672"/>
    <w:rsid w:val="00EE309A"/>
    <w:rsid w:val="00EF32FB"/>
    <w:rsid w:val="00F255E5"/>
    <w:rsid w:val="00F51064"/>
    <w:rsid w:val="00F94E42"/>
    <w:rsid w:val="00FB1F7A"/>
    <w:rsid w:val="00FC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1988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CB4"/>
    <w:pPr>
      <w:spacing w:after="200" w:line="276" w:lineRule="auto"/>
    </w:pPr>
    <w:rPr>
      <w:rFonts w:ascii="Calibri" w:eastAsia="Calibri" w:hAnsi="Calibri" w:cs="Times New Roman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61CB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61CB4"/>
    <w:rPr>
      <w:rFonts w:ascii="Calibri" w:eastAsia="Calibri" w:hAnsi="Calibri" w:cs="Times New Roman"/>
      <w:lang w:val="nb-NO"/>
    </w:rPr>
  </w:style>
  <w:style w:type="paragraph" w:styleId="NormalWeb">
    <w:name w:val="Normal (Web)"/>
    <w:basedOn w:val="Normal"/>
    <w:uiPriority w:val="99"/>
    <w:unhideWhenUsed/>
    <w:rsid w:val="00161C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161CB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161CB4"/>
    <w:rPr>
      <w:color w:val="0563C1" w:themeColor="hyperlink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16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61CB4"/>
    <w:rPr>
      <w:rFonts w:ascii="Calibri" w:eastAsia="Calibri" w:hAnsi="Calibri" w:cs="Times New Roman"/>
      <w:lang w:val="nb-NO"/>
    </w:rPr>
  </w:style>
  <w:style w:type="paragraph" w:customStyle="1" w:styleId="Default">
    <w:name w:val="Default"/>
    <w:rsid w:val="00161C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55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55188"/>
    <w:rPr>
      <w:rFonts w:ascii="Segoe UI" w:eastAsia="Calibri" w:hAnsi="Segoe UI" w:cs="Segoe UI"/>
      <w:sz w:val="18"/>
      <w:szCs w:val="18"/>
      <w:lang w:val="nb-NO"/>
    </w:rPr>
  </w:style>
  <w:style w:type="table" w:styleId="Tabellrutenett">
    <w:name w:val="Table Grid"/>
    <w:basedOn w:val="Vanligtabell"/>
    <w:uiPriority w:val="39"/>
    <w:rsid w:val="00EE0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ight3">
    <w:name w:val="right3"/>
    <w:basedOn w:val="Normal"/>
    <w:rsid w:val="00B827A5"/>
    <w:pPr>
      <w:spacing w:before="240" w:after="240" w:line="240" w:lineRule="auto"/>
      <w:jc w:val="right"/>
    </w:pPr>
    <w:rPr>
      <w:rFonts w:ascii="Times New Roman" w:eastAsia="Times New Roman" w:hAnsi="Times New Roman"/>
      <w:sz w:val="24"/>
      <w:szCs w:val="24"/>
      <w:lang w:val="nn-NO" w:eastAsia="nn-NO"/>
    </w:rPr>
  </w:style>
  <w:style w:type="paragraph" w:customStyle="1" w:styleId="right4">
    <w:name w:val="right4"/>
    <w:basedOn w:val="Normal"/>
    <w:rsid w:val="00B827A5"/>
    <w:pPr>
      <w:spacing w:before="240" w:after="240" w:line="240" w:lineRule="auto"/>
      <w:jc w:val="right"/>
    </w:pPr>
    <w:rPr>
      <w:rFonts w:ascii="Times New Roman" w:eastAsia="Times New Roman" w:hAnsi="Times New Roman"/>
      <w:sz w:val="24"/>
      <w:szCs w:val="24"/>
      <w:lang w:val="nn-NO" w:eastAsia="nn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CB4"/>
    <w:pPr>
      <w:spacing w:after="200" w:line="276" w:lineRule="auto"/>
    </w:pPr>
    <w:rPr>
      <w:rFonts w:ascii="Calibri" w:eastAsia="Calibri" w:hAnsi="Calibri" w:cs="Times New Roman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61CB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61CB4"/>
    <w:rPr>
      <w:rFonts w:ascii="Calibri" w:eastAsia="Calibri" w:hAnsi="Calibri" w:cs="Times New Roman"/>
      <w:lang w:val="nb-NO"/>
    </w:rPr>
  </w:style>
  <w:style w:type="paragraph" w:styleId="NormalWeb">
    <w:name w:val="Normal (Web)"/>
    <w:basedOn w:val="Normal"/>
    <w:uiPriority w:val="99"/>
    <w:unhideWhenUsed/>
    <w:rsid w:val="00161C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161CB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161CB4"/>
    <w:rPr>
      <w:color w:val="0563C1" w:themeColor="hyperlink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16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61CB4"/>
    <w:rPr>
      <w:rFonts w:ascii="Calibri" w:eastAsia="Calibri" w:hAnsi="Calibri" w:cs="Times New Roman"/>
      <w:lang w:val="nb-NO"/>
    </w:rPr>
  </w:style>
  <w:style w:type="paragraph" w:customStyle="1" w:styleId="Default">
    <w:name w:val="Default"/>
    <w:rsid w:val="00161C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55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55188"/>
    <w:rPr>
      <w:rFonts w:ascii="Segoe UI" w:eastAsia="Calibri" w:hAnsi="Segoe UI" w:cs="Segoe UI"/>
      <w:sz w:val="18"/>
      <w:szCs w:val="18"/>
      <w:lang w:val="nb-NO"/>
    </w:rPr>
  </w:style>
  <w:style w:type="table" w:styleId="Tabellrutenett">
    <w:name w:val="Table Grid"/>
    <w:basedOn w:val="Vanligtabell"/>
    <w:uiPriority w:val="39"/>
    <w:rsid w:val="00EE0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ight3">
    <w:name w:val="right3"/>
    <w:basedOn w:val="Normal"/>
    <w:rsid w:val="00B827A5"/>
    <w:pPr>
      <w:spacing w:before="240" w:after="240" w:line="240" w:lineRule="auto"/>
      <w:jc w:val="right"/>
    </w:pPr>
    <w:rPr>
      <w:rFonts w:ascii="Times New Roman" w:eastAsia="Times New Roman" w:hAnsi="Times New Roman"/>
      <w:sz w:val="24"/>
      <w:szCs w:val="24"/>
      <w:lang w:val="nn-NO" w:eastAsia="nn-NO"/>
    </w:rPr>
  </w:style>
  <w:style w:type="paragraph" w:customStyle="1" w:styleId="right4">
    <w:name w:val="right4"/>
    <w:basedOn w:val="Normal"/>
    <w:rsid w:val="00B827A5"/>
    <w:pPr>
      <w:spacing w:before="240" w:after="240" w:line="240" w:lineRule="auto"/>
      <w:jc w:val="right"/>
    </w:pPr>
    <w:rPr>
      <w:rFonts w:ascii="Times New Roman" w:eastAsia="Times New Roman" w:hAnsi="Times New Roman"/>
      <w:sz w:val="24"/>
      <w:szCs w:val="24"/>
      <w:lang w:val="nn-NO" w:eastAsia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891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705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270301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36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5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28EF6-E517-4469-A0C4-9EE40DC59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1608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Voss kommune</Company>
  <LinksUpToDate>false</LinksUpToDate>
  <CharactersWithSpaces>10114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Steine, Arild</dc:creator>
  <cp:keywords/>
  <dc:description/>
  <cp:lastModifiedBy>Jostein Eitrheim</cp:lastModifiedBy>
  <cp:revision>5</cp:revision>
  <cp:lastPrinted>2015-10-27T12:48:00Z</cp:lastPrinted>
  <dcterms:created xsi:type="dcterms:W3CDTF">2015-12-20T19:06:00Z</dcterms:created>
  <dcterms:modified xsi:type="dcterms:W3CDTF">2016-01-22T08:59:00Z</dcterms:modified>
</cp:coreProperties>
</file>